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e5fcdec263207596ea0c9145201f0120d49339"/>
    <w:p>
      <w:pPr>
        <w:pStyle w:val="Heading1"/>
      </w:pPr>
      <w:r>
        <w:t xml:space="preserve">Benchmark Hygiene Reveals the Non-Canonical Frontier of Peptide-MHC-I Binding Prediction</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~3,000 (main text) |</w:t>
      </w:r>
      <w:r>
        <w:t xml:space="preserve"> </w:t>
      </w:r>
      <w:r>
        <w:rPr>
          <w:b/>
          <w:bCs/>
        </w:rPr>
        <w:t xml:space="preserve">Tables</w:t>
      </w:r>
      <w:r>
        <w:t xml:space="preserve">: 5 |</w:t>
      </w:r>
      <w:r>
        <w:t xml:space="preserve"> </w:t>
      </w:r>
      <w:r>
        <w:rPr>
          <w:b/>
          <w:bCs/>
        </w:rPr>
        <w:t xml:space="preserve">Figures</w:t>
      </w:r>
      <w:r>
        <w:t xml:space="preserve">: 9</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pPr>
        <w:pStyle w:val="BodyText"/>
      </w:pPr>
      <w:r>
        <w:rPr>
          <w:b/>
          <w:bCs/>
        </w:rPr>
        <w:t xml:space="preserve">ORCIDs</w:t>
      </w:r>
      <w:r>
        <w:t xml:space="preserve">: Yunshi Huang 0009-0009-8852-1479; Weisheng Chen 0000-0002-5367-9446; Yiqi Cai 0000-0002-4014-6544; Xiaopeng Zhuang 0009-0003-4289-0734; Zhuxian Zhou 0000-0002-7104-9915; Xiangyang Xue 0000-0002-8670-2016; Zhuha Zhou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reproduce a labeler’s decision boundary are rarely separated from true binding accuracy. We present a controlled benchmark of six deep-learning architectures for HLA-A*02:01 under multi-seed uncertainty, and demonstrate how benchmark composition manufactures false conclusions: two apparent findings dissolved under re-analysis, each traced to a benchmark-composition artifact. The genuinely hard problem is non-canonical binding: the trained model recovers binders that a zero-parameter anchor rule misses. We validate against 42 re-verified IEDB epitopes (97.6% sensitivity), and show that two high-fidelity predictors that rank peptides almost identically (Spearman ρ = 0.96) nevertheless give the same hard label to only 62% of peptides, a discrepancy that reflects a ~4-fold offset in their percentile cutpoints and largely vanishes when the cutpoints are aligned. A benchmark-hygiene checklist distils the countermeasures. Code, models, and data are available at github.com/woodhaha/peptide-mhc-benchmark.</w:t>
      </w:r>
    </w:p>
    <w:bookmarkEnd w:id="9"/>
    <w:bookmarkStart w:id="10" w:name="author-summary"/>
    <w:p>
      <w:pPr>
        <w:pStyle w:val="Heading2"/>
      </w:pPr>
      <w:r>
        <w:t xml:space="preserve">Author summary</w:t>
      </w:r>
    </w:p>
    <w:p>
      <w:pPr>
        <w:pStyle w:val="FirstParagraph"/>
      </w:pPr>
      <w:r>
        <w:t xml:space="preserve">Predicting which peptides bind to MHC class I molecules — the first step in T-cell immune recognition — underpins cancer-vaccine and immunotherapy design. Many machine-learning tools now make these predictions, but it is hard to tell whether a tool’s reported accuracy reflects genuine biological insight or merely the quirks of how it was trained and evaluated. We benchmarked six neural-network architectures for the most common human MHC allele (HLA-A*02:01) and audited the benchmark itself. Two findings emerged. First, benchmark scores are highly sensitive to where the</w:t>
      </w:r>
      <w:r>
        <w:t xml:space="preserve"> </w:t>
      </w:r>
      <w:r>
        <w:t xml:space="preserve">“binder”</w:t>
      </w:r>
      <w:r>
        <w:t xml:space="preserve"> </w:t>
      </w:r>
      <w:r>
        <w:t xml:space="preserve">threshold is drawn: two leading predictors, despite near-identical rankings, give the same hard label to only 62% of peptides; the disagreement traces to a roughly four-fold difference in where each draws its binder threshold and mostly disappears once the thresholds are aligned. Second, the genuinely difficult frontier is non-canonical binding — peptides that violate the classic anchor-position rules, which simple motif rules miss but the trained model recovers. We distil these lessons into a reusable benchmark-hygiene checklist so that others can avoid reporting evaluation artifacts as biological findings.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cutpoint sensitivity</w:t>
      </w:r>
      <w:r>
        <w:t xml:space="preserve">: because &gt;55% of IEDB entries are computationally rather than experimentally labelled [10], a predictor’s apparent accuracy can track the decision boundary of whichever labeler trained it rather than true binding — and two labelers that agree on peptide ranking may still disagree on hard labels wherever their percentile thresholds differ. The impact of training-label quality is seldom quantified, and general guidance on avoiding data leakage [11] has not been instantiated as a peptide-MHC-specific set of tripwires. Head-to-head architecture comparisons under fully controlled conditions (identical training data, encoding, evaluation) are uncommon.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that architecture effects are small and largely indistinguishable after accounting for seed and sampling uncertainty, confirm that random labels fall to chance, and evaluate ESM-2 embeddings against BLOSUM62 with a mean-pooled ablation. We further validate against 42 A*02:01-verified IEDB epitopes, and scan proteins and cancer mutations as a translational application. We report this as a benchmark following the criteria of the PLOS Computational Biology benchmark category [12].</w:t>
      </w:r>
    </w:p>
    <w:bookmarkEnd w:id="11"/>
    <w:bookmarkStart w:id="17" w:name="methods"/>
    <w:p>
      <w:pPr>
        <w:pStyle w:val="Heading2"/>
      </w:pPr>
      <w:r>
        <w:t xml:space="preserve">2 Methods</w:t>
      </w:r>
    </w:p>
    <w:bookmarkStart w:id="12"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label-corpus overlap was determined by sequence-identity match against the IEDB entries in MHCflurry’s training corpus.</w:t>
      </w:r>
    </w:p>
    <w:bookmarkEnd w:id="12"/>
    <w:bookmarkStart w:id="13" w:name="peptide-encoding"/>
    <w:p>
      <w:pPr>
        <w:pStyle w:val="Heading3"/>
      </w:pPr>
      <w:r>
        <w:t xml:space="preserve">2.2 Peptide encoding</w:t>
      </w:r>
    </w:p>
    <w:p>
      <w:pPr>
        <w:pStyle w:val="FirstParagraph"/>
      </w:pPr>
      <w:r>
        <w:t xml:space="preserve">Each 9-mer was encoded with the BLOSUM62 matrix [13], min–max normalized, producing a 9×20 matrix flattened to 180 dimensions for fully connected networks. ESM-2 embeddings [14]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3"/>
    <w:bookmarkStart w:id="14" w:name="model-architectures"/>
    <w:p>
      <w:pPr>
        <w:pStyle w:val="Heading3"/>
      </w:pPr>
      <w:r>
        <w:t xml:space="preserve">2.3 Model architectures</w:t>
      </w:r>
    </w:p>
    <w:p>
      <w:pPr>
        <w:pStyle w:val="FirstParagraph"/>
      </w:pPr>
      <w:r>
        <w:t xml:space="preserve">Six classifiers were implemented: (i) FFN [15]: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 All models were trained and evaluated on a single CPU (TensorFlow 2.x on native Windows, without GPU acceleration); confidence intervals are reported wherever sample sizes permit.</w:t>
      </w:r>
    </w:p>
    <w:bookmarkEnd w:id="14"/>
    <w:bookmarkStart w:id="15"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3,357 windows). Sixteen recurrent hotspot mutations (7 p53, 9 KRAS) were analyzed by comparing wild-type and mutant binding scores; mutations were classified as Created/Enhanced/Destroyed/Unchanged. The KRAS G12V neoepitope YKLVVVGAV carries a non-canonical lysine at P2.</w:t>
      </w:r>
    </w:p>
    <w:bookmarkEnd w:id="15"/>
    <w:bookmarkStart w:id="16"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6"/>
    <w:bookmarkEnd w:id="17"/>
    <w:bookmarkStart w:id="23" w:name="results"/>
    <w:p>
      <w:pPr>
        <w:pStyle w:val="Heading2"/>
      </w:pPr>
      <w:r>
        <w:t xml:space="preserve">3 Results</w:t>
      </w:r>
    </w:p>
    <w:p>
      <w:pPr>
        <w:pStyle w:val="FirstParagraph"/>
      </w:pPr>
      <w:r>
        <w:t xml:space="preserve">The results are organised to isolate the failure mode of interest. Sections 3.1–3.3 vary the three variables that could confound a benchmark — architecture, label source, and encoding — and show that each has only a small effect at this data scale. This controlled setup is what allows §3.4 to attribute the large label-agreement gap between two high-fidelity predictors to percentile-cutpoint placement rather than to architecture choice, label quality, or feature encoding.</w:t>
      </w:r>
    </w:p>
    <w:bookmarkStart w:id="18"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(91.5% ± 0.8%; Table 1, Figure 1), modestly ahead of the Deep FFN (90.6% ± 1.2%), the FFN (89.8% ± 1.1%), and the LSTM (89.7% ± 0.9%) — the top four architectures within ~2 percentage points, a range within the combined seed-plus-binomial uncertainty (n=519; 95% CI CNN [0.886, 0.943]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8.5-point gap between the labeler (100%) and the best finite-sample approximation (91.5% for the CNN) is information loss from finite samples; the far larger ~29-point gap to NetMHCpan (62.24%) reflects primarily cutpoint placement rather than label fidelity (see §3.4 and Discussion). The WB class was consistently the most difficult (F1 0.752–0.880). These class-balanced accuracies overstate real-world utility: under the uniform-random-peptide prior (1.7% SB, 5.1% WB, 93.2% NB), a trivial always-non-binder classifier reaches 93.2% accuracy, above every model’s balanced accuracy, so natural-prior precision/PPV should be reported (Box 1, item 5).</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91.5 ± 0.8</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cutpoint sensitivity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18"/>
    <w:bookmarkStart w:id="19"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19"/>
    <w:bookmarkStart w:id="20" w:name="encoding"/>
    <w:p>
      <w:pPr>
        <w:pStyle w:val="Heading3"/>
      </w:pPr>
      <w:r>
        <w:t xml:space="preserve">3.3 Encoding</w:t>
      </w:r>
    </w:p>
    <w:p>
      <w:pPr>
        <w:pStyle w:val="FirstParagraph"/>
      </w:pPr>
      <w:r>
        <w:t xml:space="preserve">On the Deep FFN (the architecture used for the encoding comparisons), BLOSUM62 generalized stably under cross-validation (92.1 ± 0.4%; per-fold 92.0/92.6/91.7/92.4/91.8%).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(92.1 ± 0.4%) but at 64× the input dimensionality. At the data scale typical of single-allele studies, compact biologically motivated encodings such as BLOSUM62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92.1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0"/>
    <w:bookmarkStart w:id="21"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Of the original 49 A*02:01-restricted epitopes, one (</w:t>
      </w:r>
      <w:r>
        <w:rPr>
          <w:rStyle w:val="VerbatimChar"/>
        </w:rPr>
        <w:t xml:space="preserve">ILRGSVAHK</w:t>
      </w:r>
      <w:r>
        <w:t xml:space="preserve">) was removed on re-curation for allele mis-attribution (HLA-A*03:01, previously mis-attributed to B*08:01), leaving 48. IEDB re-verification (query-api.iedb.org, accessed 2026-10-23) then excluded six further peptides lacking A*02:01 restriction —</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 giving the final 42-epitope benchmark. The single remaining false negative,</w:t>
      </w:r>
      <w:r>
        <w:t xml:space="preserve"> </w:t>
      </w:r>
      <w:r>
        <w:rPr>
          <w:rStyle w:val="VerbatimChar"/>
        </w:rPr>
        <w:t xml:space="preserve">TLGIVCPIC</w:t>
      </w:r>
      <w:r>
        <w:t xml:space="preserve"> </w:t>
      </w:r>
      <w:r>
        <w:t xml:space="preserve">(HPV16 E7), carries a non-canonical p9 anchor (C). An independent predictor, NetMHCpan-4.1b (DTU standalone, run locally), achieved 85.7% sensitivity (36/42; Wilson 95% CI 72.1–93.3%) on the corrected 42-epitope set, statistically indistinguishable from the Deep FFN (41/42 = 97.6%; exact McNemar p = 0.0625, five discordant pairs) — though with only five discordant pairs this comparison is underpowered and establishes non-inferiority, not equivalence. NetMHCpan’s pan-specific training on MS-elution-based labels makes this an indicative rather than clean comparison; the more direct evidence of cutpoint sensitivity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It recovers eight of these nine (Wilson 95% CI 52–98%) — the single residual miss,</w:t>
      </w:r>
      <w:r>
        <w:t xml:space="preserve"> </w:t>
      </w:r>
      <w:r>
        <w:rPr>
          <w:rStyle w:val="VerbatimChar"/>
        </w:rPr>
        <w:t xml:space="preserve">TLGIVCPIC</w:t>
      </w:r>
      <w:r>
        <w:t xml:space="preserve"> </w:t>
      </w:r>
      <w:r>
        <w:t xml:space="preserve">(p9 = C), defines the hard non-canonical tail — suggesting — on a sample of only nine peptides, too small for strong inference — that part of the informative signal may lie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As a secondary negative set, 20 experimentally measured A*02:01 negatives (IEDB qualitative_measure = Negative) yielded 90.0% specificity (18/20), confirming that the homopolymer set is a conservative lower bound on realistic specificity. To characterise the labels independently of the labeler’s own decision boundary,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To characterise the labelers directly, we scored MHCflurry 2.2.1 itself on the 6,524 affinities (AUC 0.950) alongside NetMHCpan-4.1b (0.937 EL-rank, 0.960 BA-rank) — both high, though 91.6% of these peptides appear in MHCflurry’s training corpus, so these values are largely in-corpus. The two predictors also rank peptides almost identically (Spearman ρ = 0.96), yet their hard labels agree on only 62.24% of the 519 test peptides (Cohen’s κ = 0.44). The disagreement is asymmetric — NetMHCpan downgrades MHCflurry’s weak binders to non-binders (73% of WB) and strong to weak (30%) — and largely vanishes under the natural class prior (96% agreement), localising the 62% figure to cutpoint placement rather than label definition or fidelity. To quantify this cutpoint sensitivity, we varied the percentile-rank threshold and recomputed the two predictors’ binary binder agreement (Figure 8). Agreement is non-monotonic, dipping to 73.4% at the standard 2% threshold, where MHCflurry calls 69.6% of the balanced test set binders versus 43.0% for NetMHCpan. The two rank distributions are offset roughly four-fold — MHCflurry’s top-2% threshold corresponds to NetMHCpan’s top-8% — and aligning the cutpoints recovers 96.1% agreement. The predictors thus share predictive skill but differ in calibration (where the binder threshold is drawn), a decoupling recently formalised as a</w:t>
      </w:r>
      <w:r>
        <w:t xml:space="preserve"> </w:t>
      </w:r>
      <w:r>
        <w:t xml:space="preserve">‘free knob’</w:t>
      </w:r>
      <w:r>
        <w:t xml:space="preserve"> </w:t>
      </w:r>
      <w:r>
        <w:t xml:space="preserve">in threshold-based evaluation [16]. These two effects are independent: the 62% three-class agreement reflects the balanced prior, whereas the 73% binary agreement at 2% reflects the cutpoint offset; correcting either effect separately restores ~96% agreement. This pattern generalises across objectives (Figure 9): two presentation predictors — MUNIS and BigMHC, which add antigen processing to binding — correlate with each other at ρ = 0.90 but with the two binding predictors at only |ρ| ≈ 0.72–0.78, below the binding predictors’ mutual 0.96. Cutpoint sensitivity is therefore specific to predictors sharing a binding-affinity objective, while cross-objective disagreement reflects a genuinely different task. Protein scanning of 10 proteins (3,357 9-mer windows) recovered all ten in-scope known epitopes (100%;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MART-1 clinical variant</w:t>
      </w:r>
      <w:r>
        <w:t xml:space="preserve"> </w:t>
      </w:r>
      <w:r>
        <w:rPr>
          <w:rStyle w:val="VerbatimChar"/>
        </w:rPr>
        <w:t xml:space="preserve">ELAGIGILTV</w:t>
      </w:r>
      <w:r>
        <w:t xml:space="preserve"> </w:t>
      </w:r>
      <w:r>
        <w:t xml:space="preserve">is a 10-mer A27L anchor-modified peptide absent from the wild-type MART-1 sequence, and therefore lies outside the 9-mer scanning space. Mutation scanning of 16 hotspot mutations identified 7 epitope-altering events (Table 4, Figure 5). p53 R248W was predicted to create the neoepitope</w:t>
      </w:r>
      <w:r>
        <w:t xml:space="preserve"> </w:t>
      </w:r>
      <w:r>
        <w:rPr>
          <w:rStyle w:val="VerbatimChar"/>
        </w:rPr>
        <w:t xml:space="preserve">MNWRPILTI</w:t>
      </w:r>
      <w:r>
        <w:t xml:space="preserve"> </w:t>
      </w:r>
      <w:r>
        <w:t xml:space="preserve">(the R→W substitution at P3 alters a solvent-exposed, TCR-facing position, so any immunogenicity would arise from creating a non-self sequence rather than improved MHC binding, a mechanism our binding-only model cannot directly assess); KRAS G12V was predicted to create</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[17,18];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NetMHCpan-4.1b sensitivity</w:t>
            </w:r>
          </w:p>
        </w:tc>
        <w:tc>
          <w:tcPr/>
          <w:p>
            <w:pPr>
              <w:pStyle w:val="Compact"/>
              <w:jc w:val="center"/>
            </w:pPr>
            <w:r>
              <w:t xml:space="preserve">85.7% (36/42)</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*NetMHCpan-4.1b standalone (DTU academic license, run locally under WSL2).</w:t>
      </w:r>
    </w:p>
    <w:bookmarkEnd w:id="21"/>
    <w:bookmarkStart w:id="22" w:name="learned-feature-representations"/>
    <w:p>
      <w:pPr>
        <w:pStyle w:val="Heading3"/>
      </w:pPr>
      <w:r>
        <w:t xml:space="preserve">3.5 Learned feature representations</w:t>
      </w:r>
    </w:p>
    <w:p>
      <w:pPr>
        <w:pStyle w:val="FirstParagraph"/>
      </w:pPr>
      <w:r>
        <w:t xml:space="preserve">For interpretability, we extracted the Deep FFN penultimate dense layer (Figure 6). t-SNE showed partial class separation, with strong binders forming a distinct cluster and weak binders a transition zone; integrated gradients attributed position-specific anchor contributions (p9 dominated strong binders, p2/p3 weak binders). Because these features are the penultimate layer of a model trained to predict binding, their correlation with the binding score is expected and is reported for completeness rather than as an independent finding.</w:t>
      </w:r>
    </w:p>
    <w:bookmarkEnd w:id="22"/>
    <w:bookmarkEnd w:id="23"/>
    <w:bookmarkStart w:id="27" w:name="discussion"/>
    <w:p>
      <w:pPr>
        <w:pStyle w:val="Heading2"/>
      </w:pPr>
      <w:r>
        <w:t xml:space="preserve">4 Discussion</w:t>
      </w:r>
    </w:p>
    <w:bookmarkStart w:id="24" w:name="methodological-warnings"/>
    <w:p>
      <w:pPr>
        <w:pStyle w:val="Heading3"/>
      </w:pPr>
      <w:r>
        <w:t xml:space="preserve">Methodological warnings</w:t>
      </w:r>
    </w:p>
    <w:p>
      <w:pPr>
        <w:pStyle w:val="FirstParagraph"/>
      </w:pPr>
      <w:r>
        <w:t xml:space="preserve">Two apparent findings in this project dissolved under controlled re-analysis, each illustrating how benchmark composition can manufacture false conclusions. First,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Second,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(91.5% vs 90.6%, higher in four of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[19], and leakage is now recognised as a field-wide reproducibility problem affecting hundreds of papers across seventeen fields [20]. Dedicated guidance now exists for avoiding leakage in biological machine learning [11] and for reporting clinical prediction models [21]; a recent audit of biomolecular benchmarks found cross-split contamination and label conflicts pervasive across the field [22]; and label errors in test sets have been shown to destabilise machine-learning benchmarks more broadly [23]. Box 1 instantiates these general principles for peptide-MHC benchmarking specifically.</w:t>
      </w:r>
    </w:p>
    <w:p>
      <w:pPr>
        <w:pStyle w:val="BodyText"/>
      </w:pPr>
      <w:r>
        <w:rPr>
          <w:b/>
          <w:bCs/>
        </w:rPr>
        <w:t xml:space="preserve">Box 1. Benchmark hygiene recommendations.</w:t>
      </w:r>
      <w:r>
        <w:t xml:space="preserve"> </w:t>
      </w:r>
      <w:r>
        <w:t xml:space="preserve">The two artifacts translate into reusable practices for immunoinformatics and machine-learning benchmarks: (1) use a true i.i.d. random-label null (chance ≈ 33% for three balanced classes) rather than a degenerate control; (2) freeze data snapshots, model checkpoints, and label versions, and report multi-seed mean ± SD with confidence intervals; (3) report label provenance and, alongside hard labels, the continuous-score rank correlation with an independent state-of-the-art comparator (NetMHCpan), to separate cutpoint sensitivity from fidelity; (4) report performance under a realistic class prior (e.g. proteome-scan prevalence), not only a class-balanced prior, since a class-balanced benchmark overstates real-world utility. Each failure mode reproduced a false conclusion that was caught only by controlled re-analysis.</w:t>
      </w:r>
    </w:p>
    <w:p>
      <w:pPr>
        <w:pStyle w:val="BodyText"/>
      </w:pPr>
      <w:r>
        <w:t xml:space="preserve">Architecture choice has a small and statistically inconclusive effect on peptide-MHC binding prediction. Across five seeds, a CNN (91.5%) ranked above a Deep FFN (90.6%) by ~0.9 percentage points (higher in four of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so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could reflect low label fidelity, low rank agreement, or different cutpoints. Scoring NetMHCpan on the same 6,524 measured affinities gives 0.937 AUC (§3.4), and its ranks correlate with MHCflurry’s at Spearman ρ = 0.96, so neither fidelity nor ranking explains the gap; it localises to the placement of percentile cutpoints (NetMHCpan systematically downgrading weak binders).</w:t>
      </w:r>
    </w:p>
    <w:p>
      <w:pPr>
        <w:pStyle w:val="BodyText"/>
      </w:pPr>
      <w:r>
        <w:t xml:space="preserve">Two predictors (MHCflurry and NetMHCpan) rank peptides almost identically (Spearman ρ = 0.96) and share a high AUC on experimental affinities (~0.95), yet agree on only 62% of hard labels. This separation of predictive skill (ranking, AUC) from calibration (where the binder threshold is drawn) is a general property of threshold-based evaluation, recently formalised as a</w:t>
      </w:r>
      <w:r>
        <w:t xml:space="preserve"> </w:t>
      </w:r>
      <w:r>
        <w:t xml:space="preserve">‘free knob’</w:t>
      </w:r>
      <w:r>
        <w:t xml:space="preserve"> </w:t>
      </w:r>
      <w:r>
        <w:t xml:space="preserve">in model benchmarking [16]; two models with equal predictive skill can disagree substantially at any fixed threshold [24]. The two labelers’ near-identical ranking is consistent with prior systematic benchmarking [25,26]; the contribution here is quantifying that hard-label agreement is nonetheless only 62%, and localising that gap to percentile-cutpoint placement rather than label fidelity or definition. Benchmarks that report accuracy against a single computational labeler therefore measure that labeler’s specific cutpoints, and overstate generalisation whenever labelers draw different thresholds. The countermeasures in Box 1 are allele-agnostic practices — a random-label null, multi-seed reporting, a rank-correlation comparator, and natural-prior reporting apply to any allele — whereas the ~4-fold offset we quantify is an A*02:01-specific instantiation; whether other alleles show a smaller or larger offset is precisely what a per-allele balanced benchmark is designed to answer.</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[27].</w:t>
      </w:r>
    </w:p>
    <w:p>
      <w:pPr>
        <w:pStyle w:val="BodyText"/>
      </w:pPr>
      <w:r>
        <w:t xml:space="preserve">The non-canonical tail — where a zero-parameter anchor rule fails but the trained model still recovers eight of nine such binders — extends to non-coding, fusion-derived, and post-translationally modified peptides, for which current predictors remain under-powered [28]. A new wave of transformer- and PLM-based predictors continues to improve canonical prediction [29,30], but whether any of them lifts the non-canonical plateau remains to be seen.</w:t>
      </w:r>
    </w:p>
    <w:bookmarkEnd w:id="24"/>
    <w:bookmarkStart w:id="25"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[31,32], and high-throughput thermostability profiling now quantifies this at immunopeptidome scale [33,34].</w:t>
      </w:r>
    </w:p>
    <w:bookmarkEnd w:id="25"/>
    <w:bookmarkStart w:id="26"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cutpoint sensitivity we describe; we quantify this by cross-referencing the 42 A*02:01-verified IEDB epitopes against MHCflurry’s training corpus; 40 of the 42 overlapped with MHCflurry’s training corpus, and the two non-overlapping epitopes (</w:t>
      </w:r>
      <w:r>
        <w:rPr>
          <w:rStyle w:val="VerbatimChar"/>
        </w:rPr>
        <w:t xml:space="preserve">YILEETSVM</w:t>
      </w:r>
      <w:r>
        <w:t xml:space="preserve">,</w:t>
      </w:r>
      <w:r>
        <w:t xml:space="preserve"> </w:t>
      </w:r>
      <w:r>
        <w:rPr>
          <w:rStyle w:val="VerbatimChar"/>
        </w:rPr>
        <w:t xml:space="preserve">YLQPRTFLL</w:t>
      </w:r>
      <w:r>
        <w:t xml:space="preserve">) were nonetheless correctly classified, providing limited evidence of generalisation beyond the training distribution. The single-allele design was deliberate — holding the allele constant isolates label-source variation from allele-driven confounds. The cutpoint-sensitivity quantification (the ~4-fold offset) is accordingly specific to the A*02:01 benchmark. Testing whether it transfers is not a matter of re-scoring the same peptides for other alleles: those peptides are A*02:01-selected and mostly non-binders elsewhere (rank agreement drops to Spearman ρ = 0.73 and 0.82 for A*01:01 and A*03:01 versus 0.96 for A*02:01). A proper cross-allele test therefore requires a balanced benchmark per allele — which is itself the methodological point: per-allele balanced benchmarks, not pooled multi-allele ones, are the correct unit of analysis; a systematic per-allele survey remains future work. All translational predictions and the cancer neoepitope candidates require experimental confirmation (e.g., IFN-γ ELISpot or tetramer staining). Antigen-processing steps (proteasomal cleavage, TAP transport) are not modelled.</w:t>
      </w:r>
    </w:p>
    <w:bookmarkEnd w:id="26"/>
    <w:bookmarkEnd w:id="27"/>
    <w:bookmarkStart w:id="28" w:name="conclusion"/>
    <w:p>
      <w:pPr>
        <w:pStyle w:val="Heading2"/>
      </w:pPr>
      <w:r>
        <w:t xml:space="preserve">5 Conclusion</w:t>
      </w:r>
    </w:p>
    <w:p>
      <w:pPr>
        <w:pStyle w:val="FirstParagraph"/>
      </w:pPr>
      <w:r>
        <w:t xml:space="preserve">Architecture mattered little: the CNN ranked above the Deep FFN in four of five seeds, the top four architectures fell within ~2 percentage points, and only the Random Forest lagged (79.7%). Random-label controls confirmed chance-level performance, ruling out noise overfitting. Canonical binding is largely captured by the anchor motif, but the trained model (0.98 sensitivity) recovers non-canonical binders that a zero-parameter anchor rule (0.79) misses. Beyond peptide-MHC, the two artifacts we corrected — a degenerate null and stale checkpoints — illustrate a general benchmark-composition failure mode that reproduces false conclusions across machine-learning benchmarks. Benchmark hygiene reveals that two high-fidelity labelers, near-identical in ranking (ρ = 0.96), still agree on only 62% of hard labels because their percentile cutpoints differ ~4-fold; aligning the cutpoints restores agreement. The Box 1 checklist distils these lessons into a reusable safeguard for other benchmarks. Experimental validation of the non-canonical tail is the decisive next step.</w:t>
      </w:r>
    </w:p>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Cutpoint sensitivity (the calibration</w:t>
      </w:r>
      <w:r>
        <w:t xml:space="preserve"> </w:t>
      </w:r>
      <w:r>
        <w:t xml:space="preserve">“free knob”</w:t>
      </w:r>
      <w:r>
        <w:t xml:space="preserve">). (a) Binary binder agreement between MHCflurry and NetMHCpan as a function of a shared percentile-rank threshold; agreement dips at the standard 2% cutpoint. (b) Agreement with MHCflurry’s 2% binder call as NetMHCpan’s threshold is varied, showing an ~4-fold calibration offset (MHCflurry 2% ≈ NetMHCpan 8%).</w:t>
      </w:r>
    </w:p>
    <w:p>
      <w:pPr>
        <w:pStyle w:val="BodyText"/>
      </w:pPr>
      <w:r>
        <w:rPr>
          <w:b/>
          <w:bCs/>
        </w:rPr>
        <w:t xml:space="preserve">Figure 9.</w:t>
      </w:r>
      <w:r>
        <w:t xml:space="preserve"> </w:t>
      </w:r>
      <w:r>
        <w:t xml:space="preserve">Cross-predictor rank-correlation matrix (|Spearman ρ|). Predictors sharing an objective correlate highly (binding–binding 0.96; presentation–presentation 0.90), whereas cross-objective correlation is moderate (0.72–0.78), reflecting the additional antigen-processing component of presentation predictors.</w:t>
      </w:r>
    </w:p>
    <w:bookmarkEnd w:id="29"/>
    <w:bookmarkStart w:id="30" w:name="data-and-code-availability"/>
    <w:p>
      <w:pPr>
        <w:pStyle w:val="Heading2"/>
      </w:pPr>
      <w:r>
        <w:t xml:space="preserve">Data and code availability</w:t>
      </w:r>
    </w:p>
    <w:p>
      <w:pPr>
        <w:pStyle w:val="FirstParagraph"/>
      </w:pPr>
      <w:r>
        <w:t xml:space="preserve">All code, trained models, feature matrices, prediction results, and the experimental-label benchmark (</w:t>
      </w:r>
      <w:r>
        <w:rPr>
          <w:rStyle w:val="VerbatimChar"/>
        </w:rPr>
        <w:t xml:space="preserve">experimental_label_scores.json</w:t>
      </w:r>
      <w:r>
        <w:t xml:space="preserve">: 6,524 peptides — 3,438 binders with measured IC50 &lt;500 nM and 3,086 non-binders with IC50 &gt;5,000 nM) are available at github.com/woodhaha/peptide-mhc-benchmark and archived at Zenodo (DOI: 10.5281/zenodo.23615309). The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constitutes the complete study. A manuscript-consistency checker (</w:t>
      </w:r>
      <w:r>
        <w:rPr>
          <w:rStyle w:val="VerbatimChar"/>
        </w:rPr>
        <w:t xml:space="preserve">peptide_audit.py</w:t>
      </w:r>
      <w:r>
        <w:t xml:space="preserve"> </w:t>
      </w:r>
      <w:r>
        <w:t xml:space="preserve">with</w:t>
      </w:r>
      <w:r>
        <w:t xml:space="preserve"> </w:t>
      </w:r>
      <w:r>
        <w:rPr>
          <w:rStyle w:val="VerbatimChar"/>
        </w:rPr>
        <w:t xml:space="preserve">audit_config.json</w:t>
      </w:r>
      <w:r>
        <w:t xml:space="preserve">) automates the reference-order, factual-tripwire, and figure-inventory checks used in this audit.</w:t>
      </w:r>
    </w:p>
    <w:bookmarkEnd w:id="30"/>
    <w:bookmarkStart w:id="31"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31"/>
    <w:bookmarkStart w:id="32" w:name="competing-interests"/>
    <w:p>
      <w:pPr>
        <w:pStyle w:val="Heading2"/>
      </w:pPr>
      <w:r>
        <w:t xml:space="preserve">Competing interests</w:t>
      </w:r>
    </w:p>
    <w:p>
      <w:pPr>
        <w:pStyle w:val="FirstParagraph"/>
      </w:pPr>
      <w:r>
        <w:t xml:space="preserve">The authors declare no competing interests.</w:t>
      </w:r>
    </w:p>
    <w:bookmarkEnd w:id="32"/>
    <w:bookmarkStart w:id="33" w:name="funding"/>
    <w:p>
      <w:pPr>
        <w:pStyle w:val="Heading2"/>
      </w:pPr>
      <w:r>
        <w:t xml:space="preserve">Funding</w:t>
      </w:r>
    </w:p>
    <w:p>
      <w:pPr>
        <w:pStyle w:val="FirstParagraph"/>
      </w:pPr>
      <w:r>
        <w:t xml:space="preserve">This research did not receive specific grant funding.</w:t>
      </w:r>
    </w:p>
    <w:bookmarkEnd w:id="33"/>
    <w:bookmarkStart w:id="34"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34"/>
    <w:bookmarkStart w:id="35" w:name="ai-use-disclosure"/>
    <w:p>
      <w:pPr>
        <w:pStyle w:val="Heading2"/>
      </w:pPr>
      <w:r>
        <w:t xml:space="preserve">AI use disclosure</w:t>
      </w:r>
    </w:p>
    <w:p>
      <w:pPr>
        <w:pStyle w:val="FirstParagraph"/>
      </w:pPr>
      <w:r>
        <w:t xml:space="preserve">AI-assisted tools (Claude Code, Anthropic) were used for code development and manuscript editing. All scientific content, interpretations, and conclusions were authored and approved by the human authors, who take full responsibility for the manuscript’s content. No AI tools were listed as authors.</w:t>
      </w:r>
    </w:p>
    <w:bookmarkEnd w:id="35"/>
    <w:bookmarkStart w:id="36"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Peters B, Brenner SE, Wang E, Slonim D, Kann MG. Putting benchmarks in their rightful place: The heart of computational biology. PLoS Comput Biol 2018;14:e1006494.</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Munim MH, Saiem BA, Sany A-A, Hashem T. A free knob: decoupling calibration and predictive skill in threshold-based evaluation. arXiv 2026;2609.33457.</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Northcutt CG, Athalye A, Mueller J. Pervasive label errors in test sets destabilize machine learning benchmarks. Proc Conf Neural Inf Process Syst Datasets Benchmarks Track 2021.</w:t>
      </w:r>
    </w:p>
    <w:p>
      <w:pPr>
        <w:pStyle w:val="Compact"/>
        <w:numPr>
          <w:ilvl w:val="0"/>
          <w:numId w:val="1001"/>
        </w:numPr>
      </w:pPr>
      <w:r>
        <w:t xml:space="preserve">Sanz-Guerrero M, von der Wense K. Calibration as a first-class criterion in LLM evaluation. arXiv 2026;2609.26489.</w:t>
      </w:r>
    </w:p>
    <w:p>
      <w:pPr>
        <w:pStyle w:val="Compact"/>
        <w:numPr>
          <w:ilvl w:val="0"/>
          <w:numId w:val="1001"/>
        </w:numPr>
      </w:pPr>
      <w:r>
        <w:t xml:space="preserve">Paul S, Croft NP, Purcell AW, Tscharke DC, Sette A, Nielsen M, Peters B. Benchmarking predictions of MHC class I restricted T cell epitopes in a comprehensively studied model system. PLoS Comput Biol 2020;16:e1007757.</w:t>
      </w:r>
    </w:p>
    <w:p>
      <w:pPr>
        <w:pStyle w:val="Compact"/>
        <w:numPr>
          <w:ilvl w:val="0"/>
          <w:numId w:val="1001"/>
        </w:numPr>
      </w:pPr>
      <w:r>
        <w:t xml:space="preserve">Zhao W, Sher X. Systematically benchmarking peptide-MHC binding predictors: From synthetic to naturally processed epitopes. PLoS Comput Biol 2018;14:e1006457.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2026-10-24T10:22:28Z</dcterms:created>
  <dcterms:modified xsi:type="dcterms:W3CDTF">2026-10-24T10:22:28Z</dcterms:modified>
</cp:coreProperties>
</file>

<file path=docProps/custom.xml><?xml version="1.0" encoding="utf-8"?>
<Properties xmlns="http://schemas.openxmlformats.org/officeDocument/2006/custom-properties" xmlns:vt="http://schemas.openxmlformats.org/officeDocument/2006/docPropsVTypes"/>
</file>