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20df31695694f023e22c243209c7493a6106a2"/>
    <w:p>
      <w:pPr>
        <w:pStyle w:val="Heading1"/>
      </w:pPr>
      <w:r>
        <w:t xml:space="preserve">A Rebalanced Pan-Specific Model and the Non-Canonical Frontier: A Multi-Allele Benchmark of Peptide-MHC-I Binding Prediction</w:t>
      </w:r>
    </w:p>
    <w:p>
      <w:pPr>
        <w:pStyle w:val="FirstParagraph"/>
      </w:pPr>
      <w:r>
        <w:rPr>
          <w:b/>
          <w:bCs/>
        </w:rPr>
        <w:t xml:space="preserve">Authors</w:t>
      </w:r>
      <w:r>
        <w:t xml:space="preserve">: Yunshi Huang</w:t>
      </w:r>
      <w:r>
        <w:t xml:space="preserve">1,†</w:t>
      </w:r>
      <w:r>
        <w:t xml:space="preserve">, Weisheng Chen</w:t>
      </w:r>
      <w:r>
        <w:t xml:space="preserve">2,†</w:t>
      </w:r>
      <w:r>
        <w:t xml:space="preserve">, Yiqi Cai</w:t>
      </w:r>
      <w:r>
        <w:t xml:space="preserve">2</w:t>
      </w:r>
      <w:r>
        <w:t xml:space="preserve">, Xiaopeng Zhuang</w:t>
      </w:r>
      <w:r>
        <w:t xml:space="preserve">2</w:t>
      </w:r>
      <w:r>
        <w:t xml:space="preserve">, Zhuxian Zhou</w:t>
      </w:r>
      <w:r>
        <w:t xml:space="preserve">3</w:t>
      </w:r>
      <w:r>
        <w:t xml:space="preserve">, Xiangyang Xue</w:t>
      </w:r>
      <w:r>
        <w:t xml:space="preserve">4,</w:t>
      </w:r>
      <w:r>
        <w:rPr>
          <w:i/>
          <w:iCs/>
        </w:rPr>
        <w:t xml:space="preserve">, Zhuha Zhou</w:t>
      </w:r>
      <w:r>
        <w:rPr>
          <w:i/>
          <w:iCs/>
        </w:rPr>
        <w:t xml:space="preserve">2,</w:t>
      </w:r>
    </w:p>
    <w:p>
      <w:pPr>
        <w:pStyle w:val="BodyText"/>
      </w:pPr>
      <w:r>
        <w:rPr>
          <w:b/>
          <w:bCs/>
        </w:rPr>
        <w:t xml:space="preserve">Affiliations</w:t>
      </w:r>
      <w:r>
        <w:t xml:space="preserve">:</w:t>
      </w:r>
      <w:r>
        <w:br/>
      </w:r>
      <w:r>
        <w:t xml:space="preserve">1</w:t>
      </w:r>
      <w:r>
        <w:t xml:space="preserve"> </w:t>
      </w:r>
      <w:r>
        <w:t xml:space="preserve">Department of General Surgery, The First Affiliated Hospital of Wenzhou Medical University, Wenzhou, China</w:t>
      </w:r>
      <w:r>
        <w:br/>
      </w:r>
      <w:r>
        <w:t xml:space="preserve">2</w:t>
      </w:r>
      <w:r>
        <w:t xml:space="preserve"> </w:t>
      </w:r>
      <w:r>
        <w:t xml:space="preserve">Department of Gastroenterology Surgery, The First Affiliated Hospital of Wenzhou Medical University, Nanbaixiang Street, Ouhai District, 325000 Wenzhou, Zhejiang, China</w:t>
      </w:r>
      <w:r>
        <w:br/>
      </w:r>
      <w:r>
        <w:t xml:space="preserve">3</w:t>
      </w:r>
      <w:r>
        <w:t xml:space="preserve"> </w:t>
      </w:r>
      <w:r>
        <w:t xml:space="preserve">Center for Bionanoengineering, College of Chemical and Biological Engineering, Zhejiang University, Hangzhou 310027, China</w:t>
      </w:r>
      <w:r>
        <w:br/>
      </w:r>
      <w:r>
        <w:t xml:space="preserve">4</w:t>
      </w:r>
      <w:r>
        <w:t xml:space="preserve"> </w:t>
      </w:r>
      <w:r>
        <w:t xml:space="preserve">Zhejiang Key Laboratory of Intelligent Cancer Biomarker Discovery and Translation, The First Affiliated Hospital of Wenzhou Medical University, Wenzhou, China</w:t>
      </w:r>
    </w:p>
    <w:p>
      <w:pPr>
        <w:pStyle w:val="BodyText"/>
      </w:pPr>
      <w:r>
        <w:t xml:space="preserve">†</w:t>
      </w:r>
      <w:r>
        <w:t xml:space="preserve"> </w:t>
      </w:r>
      <w:r>
        <w:t xml:space="preserve">These authors contributed equally to this work.</w:t>
      </w:r>
      <w:r>
        <w:br/>
      </w:r>
      <w:r>
        <w:t xml:space="preserve">*</w:t>
      </w:r>
      <w:r>
        <w:t xml:space="preserve"> </w:t>
      </w:r>
      <w:r>
        <w:t xml:space="preserve">Corresponding authors: Xiangyang Xue, wzxxy@wmu.edu.cn, ORCID: 0000-0002-8670-2016; Zhuha Zhou, zhouzhuha@wmu.edu.cn, ORCID: 0009-0005-1818-4789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Peptide binding to MHC class I is the gatekeeper of CD8+ T-cell recognition, and pan-specific predictors have become the field standard for multi-allele screening. Two questions remain open: whether a single sequence-based pan model can match per-allele specialists, and how hard non-canonical (motif-failing) binders are for current prediction methods. We benchmarked a rebalanced pan-specific deep feed-forward network (DFFN) across five common HLA-I alleles (n = 14,488 curated IEDB positives) and a 15-allele panel, comparing against per-allele models, MHCflurry, and the sequence-based predictor MUNIS (ESM-2+LSTM). With protein-background negatives, per-allele models reached non-canonical sensitivity 0.84–0.96, and a rebalanced pan model matched them on four of five alleles; B*07:02 was a notable exception (pan 0.60 vs per-allele 0.96, over-anchoring to P2-Proline). An apparent per-allele advantage in prior work was a 10.6× training-data-size artifact. On the 15-allele panel, pooled non-canonical sensitivity was 0.819 (12/15 alleles ≥0.76). Canonical binders were recognized at ~0.98 by every predictor class. In contrast, non-canonical (Type B) binders plateaued at ~0.65 sensitivity across DFFN (0.607), MHCflurry (0.668), and MUNIS (0.647) — a third sequence predictor did not lift the ceiling. Type A (tolerated weak anchors) binders were inherently hard (0.477) and not recovered by broad-motif retraining. Temporal holdout confirmed preserved recognition of post-2022 epitopes, breaking the label-circularity concern. We conclude that a rebalanced pan model matches per-allele specialists on four of five alleles, that the canonical binder problem is effectively solved while the non-canonical tail — prediction-resistant to all three sequence predictors tested — defines the current frontier.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Peptide-MHC-I binding prediction underpins epitope discovery for vaccines and cancer immunotherapy [1, 2]. The thousands of HLA class I allotypes [3] each present distinct anchor motifs, and pan-specific models trained on pooled allele data — NetMHCpan [4], MHCflurry [5], BigMHC [6], MUNIS [7] — have become the practical standard because a single model serves all alleles.</w:t>
      </w:r>
    </w:p>
    <w:p>
      <w:pPr>
        <w:pStyle w:val="BodyText"/>
      </w:pPr>
      <w:r>
        <w:t xml:space="preserve">Two questions motivate this work. First, is a single pan-specific model sufficient, or do per-allele specialists retain an advantage? Earlier comparisons suggested per-allele models outperform pan models on non-canonical binders, but those comparisons were confounded by a 10.6× training-data-size difference: per-allele models were trained on far more data per allele than the pan model received. Second, what fraction of bona fide binders do sequence-based predictors miss, and does structure-based prediction rescue them? Structure-guided diffusion models can generate pMHC-I complexes that sequence predictors score at near-random levels (AUROCs 0.06–0.22) [8], implying a systematic blind spot.</w:t>
      </w:r>
    </w:p>
    <w:p>
      <w:pPr>
        <w:pStyle w:val="BodyText"/>
      </w:pPr>
      <w:r>
        <w:t xml:space="preserve">We address these questions through a controlled multi-allele benchmark. A single rebalanced pan DFFN is compared against per-allele specialists, the sequence-based MHCflurry, and the sequence-based MUNIS (ESM-2+LSTM), across five common alleles and a 15-allele panel, with temporal holdout to break label circularity. We find that the rebalanced pan model matches per-allele specialists, that non-canonical binders plateau at ~0.65 sensitivity for every predictor class (three independent sequence models), and that the energy-compensated tail is prediction-resistant to all current methods.</w:t>
      </w:r>
    </w:p>
    <w:bookmarkEnd w:id="10"/>
    <w:bookmarkStart w:id="17" w:name="methods"/>
    <w:p>
      <w:pPr>
        <w:pStyle w:val="Heading2"/>
      </w:pPr>
      <w:r>
        <w:t xml:space="preserve">2 Methods</w:t>
      </w:r>
    </w:p>
    <w:bookmarkStart w:id="11" w:name="multi-allele-data-curation"/>
    <w:p>
      <w:pPr>
        <w:pStyle w:val="Heading3"/>
      </w:pPr>
      <w:r>
        <w:t xml:space="preserve">2.1 Multi-allele data curation</w:t>
      </w:r>
    </w:p>
    <w:p>
      <w:pPr>
        <w:pStyle w:val="FirstParagraph"/>
      </w:pPr>
      <w:r>
        <w:t xml:space="preserve">Experimentally confirmed class I binders were curated from the IEDB [9] for five common alleles (HLA-A*02:01, A*01:01, A*03:01, B*07:02, B*44:03), yielding n = 14,488 positives (canonical 11,225; Type A 151; Type B 3,112). A 15-allele panel (pan16: 11 additional alleles — A*11:01, A*24:02, B*08:01, B*15:01, B*27:05, B*35:01, B*40:01, B*49:01, B*51:01, B*57:01) was curated for generalisation testing. Protein-background negatives were sampled from natural proteomes to avoid the uniform-random decoys used in earlier evaluations. IEDB data were queried live from query-api.iedb.org (accessed 2026-08-02); the 15-allele and temporal-holdout estimates are therefore snapshot-dependent and drift slightly as the IEDB grows.</w:t>
      </w:r>
    </w:p>
    <w:bookmarkEnd w:id="11"/>
    <w:bookmarkStart w:id="12" w:name="type-ab-classification"/>
    <w:p>
      <w:pPr>
        <w:pStyle w:val="Heading3"/>
      </w:pPr>
      <w:r>
        <w:t xml:space="preserve">2.2 Type A/B classification</w:t>
      </w:r>
    </w:p>
    <w:p>
      <w:pPr>
        <w:pStyle w:val="FirstParagraph"/>
      </w:pPr>
      <w:r>
        <w:t xml:space="preserve">Type A (tolerated weak anchors) and Type B (energy-compensated non-canonical) were defined by whether the peptide violates the allele’s canonical anchor motif at p2/p9. Type A carries broad-only tolerated anchors (residues that appear in binding motifs but are non-canonical); Type B carries non-canonical residues at anchor positions. The two classes have different biological origins and, as we show, different prediction difficulty.</w:t>
      </w:r>
    </w:p>
    <w:bookmarkEnd w:id="12"/>
    <w:bookmarkStart w:id="13" w:name="pan-model-and-per-allele-comparators"/>
    <w:p>
      <w:pPr>
        <w:pStyle w:val="Heading3"/>
      </w:pPr>
      <w:r>
        <w:t xml:space="preserve">2.3 Pan model and per-allele comparators</w:t>
      </w:r>
    </w:p>
    <w:p>
      <w:pPr>
        <w:pStyle w:val="FirstParagraph"/>
      </w:pPr>
      <w:r>
        <w:t xml:space="preserve">The pan-specific DFFN uses BLOSUM62 encoding [10] through a 360–180–90–45 hidden stack with batch normalisation and dropout. Rebalancing upsampled the minority B*07:02 allele 4× during training to correct for allele-frequency imbalance. Five seeds (0, 1, 42, 123, 2024) were used; per-seed variation arises from data-sampling RNG. Per-allele models (one per allele) and a pan16 model (15 alleles, per-allele minimum 2,000 upsampling) were trained with the same recipe.</w:t>
      </w:r>
    </w:p>
    <w:bookmarkEnd w:id="13"/>
    <w:bookmarkStart w:id="14" w:name="comparator-predictors"/>
    <w:p>
      <w:pPr>
        <w:pStyle w:val="Heading3"/>
      </w:pPr>
      <w:r>
        <w:t xml:space="preserve">2.4 Comparator predictors</w:t>
      </w:r>
    </w:p>
    <w:p>
      <w:pPr>
        <w:pStyle w:val="FirstParagraph"/>
      </w:pPr>
      <w:r>
        <w:t xml:space="preserve">MHCflurry 2.2.1 [5] served as an independent sequence predictor (affinity threshold 500 nM). MUNIS [7] — a second sequence-based predictor using ESM-2 embeddings [11] — served as an independent sequence comparator, run on the n = 3,112 Type B population plus canonical controls.</w:t>
      </w:r>
    </w:p>
    <w:bookmarkEnd w:id="14"/>
    <w:bookmarkStart w:id="15" w:name="temporal-holdout"/>
    <w:p>
      <w:pPr>
        <w:pStyle w:val="Heading3"/>
      </w:pPr>
      <w:r>
        <w:t xml:space="preserve">2.5 Temporal holdout</w:t>
      </w:r>
    </w:p>
    <w:p>
      <w:pPr>
        <w:pStyle w:val="FirstParagraph"/>
      </w:pPr>
      <w:r>
        <w:t xml:space="preserve">To address label circularity [12], IEDB epitopes published after 2022 (post-2022, unseen by MHCflurry’s ~pre-2021 training data) were compared against pre-2021 (in-distribution) epitopes at sensitivity threshold 0.95.</w:t>
      </w:r>
    </w:p>
    <w:bookmarkEnd w:id="15"/>
    <w:bookmarkStart w:id="16" w:name="evaluation"/>
    <w:p>
      <w:pPr>
        <w:pStyle w:val="Heading3"/>
      </w:pPr>
      <w:r>
        <w:t xml:space="preserve">2.6 Evaluation</w:t>
      </w:r>
    </w:p>
    <w:p>
      <w:pPr>
        <w:pStyle w:val="FirstParagraph"/>
      </w:pPr>
      <w:r>
        <w:t xml:space="preserve">Sensitivity was computed with protein-background negatives and fixed thresholds (0.95 for the pan model; 500 nM for MHCflurry; 5th percentile of canonical scores for MUNIS). Wilson 95% confidence intervals are reported for pooled estimates.</w:t>
      </w:r>
    </w:p>
    <w:bookmarkEnd w:id="16"/>
    <w:bookmarkEnd w:id="17"/>
    <w:bookmarkStart w:id="25" w:name="results"/>
    <w:p>
      <w:pPr>
        <w:pStyle w:val="Heading2"/>
      </w:pPr>
      <w:r>
        <w:t xml:space="preserve">3 Results</w:t>
      </w:r>
    </w:p>
    <w:bookmarkStart w:id="18" w:name="Xc086741a7b3a90d9524c358a03bf3e0111acdb3"/>
    <w:p>
      <w:pPr>
        <w:pStyle w:val="Heading3"/>
      </w:pPr>
      <w:r>
        <w:t xml:space="preserve">3.1 A rebalanced pan model matches per-allele specialists on four of five alleles</w:t>
      </w:r>
    </w:p>
    <w:p>
      <w:pPr>
        <w:pStyle w:val="FirstParagraph"/>
      </w:pPr>
      <w:r>
        <w:t xml:space="preserve">With protein-background negatives and a fixed threshold (n=25 non-canonical binders per allele), per-allele models reached non-canonical sensitivity A*02:01 0.84, A*01:01 0.88, A*03:01 1.00, B*07:02 0.96, B*44:03 0.96 (Table 1; Figure 1). The rebalanced pan model matched this on four of five alleles (A*02:01 0.84, A*01:01 0.88, A*03:01 1.00, B*44:03 1.00), but B*07:02 was a notable exception: the pan model dropped to 0.60 versus 0.96 per-allele (Wilson 95% CIs [0.41, 0.77] vs [0.81, 0.99], non-overlapping), consistent with over-anchoring to B*07:02’s distinctive P2-Proline. The earlier observation that per-allele models outperform pan models on non-canonical binders is not supported once per-allele training-data size is controlled.</w:t>
      </w:r>
    </w:p>
    <w:p>
      <w:pPr>
        <w:pStyle w:val="BodyText"/>
      </w:pPr>
      <w:r>
        <w:rPr>
          <w:b/>
          <w:bCs/>
        </w:rPr>
        <w:t xml:space="preserve">Table 1. Non-canonical sensitivity by allele (protein-background negatives, n=25 per allele,</w:t>
      </w:r>
      <w:r>
        <w:rPr>
          <w:b/>
          <w:bCs/>
        </w:rPr>
        <w:t xml:space="preserve"> </w:t>
      </w:r>
      <w:r>
        <w:rPr>
          <w:b/>
          <w:bCs/>
        </w:rPr>
        <w:t xml:space="preserve">@0.95</w:t>
      </w:r>
      <w:r>
        <w:rPr>
          <w:b/>
          <w:bCs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Allele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Per-allele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A*02:01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A*01:01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A*03:01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B*07:02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B*44:03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</w:tbl>
    <w:bookmarkEnd w:id="18"/>
    <w:bookmarkStart w:id="19" w:name="Xfcbe84235508e84109109da1baa937288b62fbe"/>
    <w:p>
      <w:pPr>
        <w:pStyle w:val="Heading3"/>
      </w:pPr>
      <w:r>
        <w:t xml:space="preserve">3.2 Canonical binders are recognized at ~0.98 by every predictor</w:t>
      </w:r>
    </w:p>
    <w:p>
      <w:pPr>
        <w:pStyle w:val="FirstParagraph"/>
      </w:pPr>
      <w:r>
        <w:t xml:space="preserve">On n = 11,225 canonical positives, all three predictors were saturated: DFFN 0.979, MHCflurry 0.986, MUNIS 0.950 (Table 2). The canonical binder problem is effectively solved by all current methods.</w:t>
      </w:r>
    </w:p>
    <w:bookmarkEnd w:id="19"/>
    <w:bookmarkStart w:id="20" w:name="Xf3494d3696f1afc86436a896058c34fafb82b32"/>
    <w:p>
      <w:pPr>
        <w:pStyle w:val="Heading3"/>
      </w:pPr>
      <w:r>
        <w:t xml:space="preserve">3.3 Non-canonical (Type B) binders plateau at ~0.65 across predictor classes</w:t>
      </w:r>
    </w:p>
    <w:p>
      <w:pPr>
        <w:pStyle w:val="FirstParagraph"/>
      </w:pPr>
      <w:r>
        <w:t xml:space="preserve">On n = 3,112 Type B positives, sensitivity was DFFN 0.607, MHCflurry 0.668, MUNIS 0.647 (Table 2; Figure 2). The three values fall within a narrow band (0.607–0.668), far below the ~0.98 canonical sensitivity; a third sequence predictor does not lift the ceiling.</w:t>
      </w:r>
    </w:p>
    <w:p>
      <w:pPr>
        <w:pStyle w:val="BodyText"/>
      </w:pPr>
      <w:r>
        <w:rPr>
          <w:b/>
          <w:bCs/>
        </w:rPr>
        <w:t xml:space="preserve">Table 2. Predictor sensitivity by binder class (pooled, 5 alleles).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 (n=11,225)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 A (n=151)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 B (n=3,112)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DFFN (sequence)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MHCflurry (sequence)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MUNIS (sequence)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0.647</w:t>
            </w:r>
          </w:p>
        </w:tc>
      </w:tr>
    </w:tbl>
    <w:bookmarkEnd w:id="20"/>
    <w:bookmarkStart w:id="21" w:name="X363ef6da2cb2439c6c2cfe354a06f43ef46a89e"/>
    <w:p>
      <w:pPr>
        <w:pStyle w:val="Heading3"/>
      </w:pPr>
      <w:r>
        <w:t xml:space="preserve">3.4 Type A (tolerated weak anchors) is inherently hard</w:t>
      </w:r>
    </w:p>
    <w:p>
      <w:pPr>
        <w:pStyle w:val="FirstParagraph"/>
      </w:pPr>
      <w:r>
        <w:t xml:space="preserve">On n = 151 Type A positives, DFFN achieved 0.477 and MHCflurry 0.669. Retraining with broadened motifs did not recover Type A: A*03:01 was flat at 0.634, and B*07:02 Type B sensitivity dropped from 0.680 to 0.341 (Table 3). The low Type A sensitivity is therefore not a training-data gap but an inherent property of these heterogeneous, weak, allele-specific binders (mass-spectrometry confirmed; 3–6% cross-allele). The canonical-motif bias is what makes the model work.</w:t>
      </w:r>
    </w:p>
    <w:p>
      <w:pPr>
        <w:pStyle w:val="BodyText"/>
      </w:pPr>
      <w:r>
        <w:rPr>
          <w:b/>
          <w:bCs/>
        </w:rPr>
        <w:t xml:space="preserve">Table 3. Broad-motif retraining does not recover Type 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Allele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 A before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 A after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 B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A*03:01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A*02:01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B*07:02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 (from 0.680)</w:t>
            </w:r>
          </w:p>
        </w:tc>
      </w:tr>
    </w:tbl>
    <w:bookmarkEnd w:id="21"/>
    <w:bookmarkStart w:id="22" w:name="Xae4eebc59097160a2722f0b697afc2cb184dfbe"/>
    <w:p>
      <w:pPr>
        <w:pStyle w:val="Heading3"/>
      </w:pPr>
      <w:r>
        <w:t xml:space="preserve">3.5 The extreme tail is prediction-resistant, cross-predictor</w:t>
      </w:r>
    </w:p>
    <w:p>
      <w:pPr>
        <w:pStyle w:val="FirstParagraph"/>
      </w:pPr>
      <w:r>
        <w:t xml:space="preserve">The two false negatives from our single-allele IEDB benchmark (</w:t>
      </w:r>
      <w:r>
        <w:rPr>
          <w:rStyle w:val="VerbatimChar"/>
        </w:rPr>
        <w:t xml:space="preserve">QYDPVAALF</w:t>
      </w:r>
      <w:r>
        <w:t xml:space="preserve">,</w:t>
      </w:r>
      <w:r>
        <w:t xml:space="preserve"> </w:t>
      </w:r>
      <w:r>
        <w:rPr>
          <w:rStyle w:val="VerbatimChar"/>
        </w:rPr>
        <w:t xml:space="preserve">TLGIVCPIC</w:t>
      </w:r>
      <w:r>
        <w:t xml:space="preserve">) and the KRAS G12V P2-Lys epitope</w:t>
      </w:r>
      <w:r>
        <w:t xml:space="preserve"> </w:t>
      </w:r>
      <w:r>
        <w:rPr>
          <w:rStyle w:val="VerbatimChar"/>
        </w:rPr>
        <w:t xml:space="preserve">YKLVVVGAV</w:t>
      </w:r>
      <w:r>
        <w:t xml:space="preserve"> </w:t>
      </w:r>
      <w:r>
        <w:t xml:space="preserve">were scored as non-binders by all three predictors (MHCflurry 3.8–13.8 µM; DFFN 0.000–0.254; MUNIS 3/4 low). A single counterexample —</w:t>
      </w:r>
      <w:r>
        <w:t xml:space="preserve"> </w:t>
      </w:r>
      <w:r>
        <w:rPr>
          <w:rStyle w:val="VerbatimChar"/>
        </w:rPr>
        <w:t xml:space="preserve">QYDPVAALF</w:t>
      </w:r>
      <w:r>
        <w:t xml:space="preserve"> </w:t>
      </w:r>
      <w:r>
        <w:t xml:space="preserve">rescued by MUNIS (0.972 vs. sequence 0.000 / 6,199 nM) — is encouraging but n = 1.</w:t>
      </w:r>
    </w:p>
    <w:bookmarkEnd w:id="22"/>
    <w:bookmarkStart w:id="23" w:name="X9d6dd3e0ee01a708901f3458161b148635a1384"/>
    <w:p>
      <w:pPr>
        <w:pStyle w:val="Heading3"/>
      </w:pPr>
      <w:r>
        <w:t xml:space="preserve">3.6 Scaling: one model replaces a 15-allele panel</w:t>
      </w:r>
    </w:p>
    <w:p>
      <w:pPr>
        <w:pStyle w:val="FirstParagraph"/>
      </w:pPr>
      <w:r>
        <w:t xml:space="preserve">The rebalanced pan16 reached pooled non-canonical sensitivity 0.819 (307/375,</w:t>
      </w:r>
      <w:r>
        <w:t xml:space="preserve"> </w:t>
      </w:r>
      <w:r>
        <w:t xml:space="preserve">@0.95</w:t>
      </w:r>
      <w:r>
        <w:t xml:space="preserve">), with 12/15 alleles at 0.76–1.0 (Table 4; Figure 3). The weak tail — B*27:05 (0.08–0.20), B*51:01 (0.36–0.52), B*07:02 (0.64), A*24:02 (0.76) — reflects data scarcity and, for B*07:02, over-anchoring, not architecture.</w:t>
      </w:r>
    </w:p>
    <w:p>
      <w:pPr>
        <w:pStyle w:val="BodyText"/>
      </w:pPr>
      <w:r>
        <w:rPr>
          <w:b/>
          <w:bCs/>
        </w:rPr>
        <w:t xml:space="preserve">Table 4. Pan16 non-canonical sensitivity by allele (15-allele panel,</w:t>
      </w:r>
      <w:r>
        <w:rPr>
          <w:b/>
          <w:bCs/>
        </w:rPr>
        <w:t xml:space="preserve"> </w:t>
      </w:r>
      <w:r>
        <w:rPr>
          <w:b/>
          <w:bCs/>
        </w:rPr>
        <w:t xml:space="preserve">@0.95</w:t>
      </w:r>
      <w:r>
        <w:rPr>
          <w:b/>
          <w:bCs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Allele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Allele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A*02:01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A*11:01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A*01:01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A*24:02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A*03:01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B*08:01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B*07:02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B*15:01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B*44:03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B*27:05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B*35:01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B*40:01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B*49:01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B*51:01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B*57:01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Pooled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f75587c4005a36d3dc77dda8a4962c80d3e2257"/>
    <w:p>
      <w:pPr>
        <w:pStyle w:val="Heading3"/>
      </w:pPr>
      <w:r>
        <w:t xml:space="preserve">3.7 Temporal holdout breaks the label-circularity concern</w:t>
      </w:r>
    </w:p>
    <w:p>
      <w:pPr>
        <w:pStyle w:val="FirstParagraph"/>
      </w:pPr>
      <w:r>
        <w:t xml:space="preserve">Post-2022 epitopes (unseen by the labeler) were recognized at sens@0.95: A*02:01 0.824, A*03:01 0.936, B*07:02 0.973 — preserved versus pre-2021 (0.879/0.905/0.898), with no systematic drop in the post-2022 era (Table 5; Figure 4). The model is not overfit to a single training-data era.</w:t>
      </w:r>
    </w:p>
    <w:p>
      <w:pPr>
        <w:pStyle w:val="BodyText"/>
      </w:pPr>
      <w:r>
        <w:rPr>
          <w:b/>
          <w:bCs/>
        </w:rPr>
        <w:t xml:space="preserve">Table 5. Temporal holdout: pre-2021 vs. post-2022 sensitivity (</w:t>
      </w:r>
      <w:r>
        <w:rPr>
          <w:b/>
          <w:bCs/>
        </w:rPr>
        <w:t xml:space="preserve">@0.95</w:t>
      </w:r>
      <w:r>
        <w:rPr>
          <w:b/>
          <w:bCs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Allele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Pre-2021 (in-distribution)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Post-2022 (unseen)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A*02:01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A*03:01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B*07:02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0.973</w:t>
            </w:r>
          </w:p>
        </w:tc>
      </w:tr>
    </w:tbl>
    <w:bookmarkEnd w:id="24"/>
    <w:bookmarkEnd w:id="25"/>
    <w:bookmarkStart w:id="28" w:name="discussion"/>
    <w:p>
      <w:pPr>
        <w:pStyle w:val="Heading2"/>
      </w:pPr>
      <w:r>
        <w:t xml:space="preserve">4 Discussion</w:t>
      </w:r>
    </w:p>
    <w:p>
      <w:pPr>
        <w:pStyle w:val="FirstParagraph"/>
      </w:pPr>
      <w:r>
        <w:t xml:space="preserve">Three findings emerge. First, a positive, replicable result: a single rebalanced pan-specific DFFN reaches parity with per-allele specialists on four of five alleles (B*07:02 excepted; and 0.819 pooled across 15), approximating NetMHCpan’s practical value with a simple, reproducible recipe. The naive</w:t>
      </w:r>
      <w:r>
        <w:t xml:space="preserve"> </w:t>
      </w:r>
      <w:r>
        <w:t xml:space="preserve">“per-allele wins”</w:t>
      </w:r>
      <w:r>
        <w:t xml:space="preserve"> </w:t>
      </w:r>
      <w:r>
        <w:t xml:space="preserve">conclusion is a benchmark artifact of unequal data size, not biology — a methodological warning for the field: benchmark composition can manufacture apparent model differences.</w:t>
      </w:r>
    </w:p>
    <w:p>
      <w:pPr>
        <w:pStyle w:val="BodyText"/>
      </w:pPr>
      <w:r>
        <w:t xml:space="preserve">Second, a negative, cross-predictor result: non-canonical (Type B) binders plateau at ~0.65 sensitivity across three independent sequence-based predictors (our DFFN, MHCflurry, MUNIS), so the ceiling is shared across sequence architectures of varying complexity rather than specific to our simple network. Whether structure-based scoring (e.g. structure-guided diffusion models [8]) can lift this ceiling remains open — it was not benchmarked here at scale.</w:t>
      </w:r>
    </w:p>
    <w:p>
      <w:pPr>
        <w:pStyle w:val="BodyText"/>
      </w:pPr>
      <w:r>
        <w:t xml:space="preserve">Third, the extreme energy-compensated tail (P2-Lys/Arg/His reaching B-pocket Glu63; Zhou et al., companion) is prediction-resistant to every method tested, yet structure-informed analysis predicts these peptides bind. The contrast argues for structure-based screening as a complement for the hardest cases, pending experimental validation.</w:t>
      </w:r>
    </w:p>
    <w:bookmarkStart w:id="26" w:name="methodological-implications"/>
    <w:p>
      <w:pPr>
        <w:pStyle w:val="Heading3"/>
      </w:pPr>
      <w:r>
        <w:t xml:space="preserve">4.1 Methodological implications</w:t>
      </w:r>
    </w:p>
    <w:p>
      <w:pPr>
        <w:pStyle w:val="FirstParagraph"/>
      </w:pPr>
      <w:r>
        <w:t xml:space="preserve">The per-allele-versus-pan comparison illustrates how benchmark artifacts can manufacture false conclusions. When the pan model was trained on a fraction of the per-allele data, it appeared to</w:t>
      </w:r>
      <w:r>
        <w:t xml:space="preserve"> </w:t>
      </w:r>
      <w:r>
        <w:t xml:space="preserve">“collapse”</w:t>
      </w:r>
      <w:r>
        <w:t xml:space="preserve"> </w:t>
      </w:r>
      <w:r>
        <w:t xml:space="preserve">on non-canonical binders (A*03:01 at 0.48); retraining on equalized data restored parity (A*03:01 at 1.0). We recommend that model comparisons control for training-data size and report seed-robust estimates, protein-background negatives, and fixed thresholds as standard practice.</w:t>
      </w:r>
    </w:p>
    <w:bookmarkEnd w:id="26"/>
    <w:bookmarkStart w:id="27" w:name="limitations"/>
    <w:p>
      <w:pPr>
        <w:pStyle w:val="Heading3"/>
      </w:pPr>
      <w:r>
        <w:t xml:space="preserve">4.2 Limitations</w:t>
      </w:r>
    </w:p>
    <w:p>
      <w:pPr>
        <w:pStyle w:val="Compact"/>
        <w:numPr>
          <w:ilvl w:val="0"/>
          <w:numId w:val="1001"/>
        </w:numPr>
      </w:pPr>
      <w:r>
        <w:t xml:space="preserve">The plateau and hard-tail estimates rest on IEDB-derived positives; experimental (non-IEDB) validation of the extreme tail is outstanding.</w:t>
      </w:r>
    </w:p>
    <w:p>
      <w:pPr>
        <w:pStyle w:val="Compact"/>
        <w:numPr>
          <w:ilvl w:val="0"/>
          <w:numId w:val="1001"/>
        </w:numPr>
      </w:pPr>
      <w:r>
        <w:t xml:space="preserve">A pMHC-fine-tuned structure model (beyond generic AlphaFold-Multimer) might lift the Type B plateau; MUNIS is a sequence-based comparator and does not speak to this.</w:t>
      </w:r>
    </w:p>
    <w:p>
      <w:pPr>
        <w:pStyle w:val="Compact"/>
        <w:numPr>
          <w:ilvl w:val="0"/>
          <w:numId w:val="1001"/>
        </w:numPr>
      </w:pPr>
      <w:r>
        <w:t xml:space="preserve">Type A low sensitivity may be partly IEDB label noise (weak, multi-allele epitopes).</w:t>
      </w:r>
    </w:p>
    <w:p>
      <w:pPr>
        <w:pStyle w:val="Compact"/>
        <w:numPr>
          <w:ilvl w:val="0"/>
          <w:numId w:val="1001"/>
        </w:numPr>
      </w:pPr>
      <w:r>
        <w:t xml:space="preserve">NetMHCpan was not benchmarked on the multi-allele panel; the standalone NetMHCpan download is restricted by the DTU license, while the single-allele NetMHCpan-4.1 comparison (via the IEDB API) is reported in the sister study. MHCflurry and MUNIS served as two independent sequence predictors.</w:t>
      </w:r>
    </w:p>
    <w:bookmarkEnd w:id="27"/>
    <w:bookmarkEnd w:id="28"/>
    <w:bookmarkStart w:id="29" w:name="conclusion"/>
    <w:p>
      <w:pPr>
        <w:pStyle w:val="Heading2"/>
      </w:pPr>
      <w:r>
        <w:t xml:space="preserve">5 Conclusion</w:t>
      </w:r>
    </w:p>
    <w:p>
      <w:pPr>
        <w:pStyle w:val="FirstParagraph"/>
      </w:pPr>
      <w:r>
        <w:t xml:space="preserve">A rebalanced pan-specific model matches per-allele specialists on four of five common alleles, with B*07:02 as a notable exception (over-anchoring to P2-Proline). Canonical binding is solved; non-canonical binding defines the frontier, at ~0.65 across three independent sequence-based predictors. Experimental validation of the energy-compensated tail is the decisive next step.</w:t>
      </w:r>
    </w:p>
    <w:bookmarkEnd w:id="29"/>
    <w:bookmarkStart w:id="30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Non-canonical sensitivity (per-allele vs pan) across five common HLA-I alleles (protein-background negatives). Four of five alleles reach parity; B*07:02 is the exception (pan 0.60 vs per-allele 0.96).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Predictor plateau: canonical versus Type B (non-canonical) sensitivity for Deep FFN, MHCflurry, and MUNIS (sequence); dashed line marks the ~0.65 Type B plateau.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Pan16: per-allele non-canonical sensitivity for the 15-allele panel, sorted ascending; dashed line marks the pooled 0.819.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Temporal holdout: non-canonical sensitivity at threshold 0.95 for pre-2021 (in-distribution) versus post-2022 (unseen by the labeler) epitopes across three alleles.</w:t>
      </w:r>
    </w:p>
    <w:bookmarkEnd w:id="30"/>
    <w:bookmarkStart w:id="31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code, trained models (including</w:t>
      </w:r>
      <w:r>
        <w:t xml:space="preserve"> </w:t>
      </w:r>
      <w:r>
        <w:rPr>
          <w:rStyle w:val="VerbatimChar"/>
        </w:rPr>
        <w:t xml:space="preserve">deep_ffn_pan_seed*.keras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deep_ffn_pan16.keras</w:t>
      </w:r>
      <w:r>
        <w:t xml:space="preserve">), and curated datasets (</w:t>
      </w:r>
      <w:r>
        <w:rPr>
          <w:rStyle w:val="VerbatimChar"/>
        </w:rPr>
        <w:t xml:space="preserve">type_ab_dataset.json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type_ab_*_scores.json</w:t>
      </w:r>
      <w:r>
        <w:t xml:space="preserve">, MUNIS scores) are available at https://github.com/woodhaha/peptide-mhc-benchmark.</w:t>
      </w:r>
    </w:p>
    <w:bookmarkEnd w:id="31"/>
    <w:bookmarkStart w:id="32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did not receive specific grant funding.</w:t>
      </w:r>
    </w:p>
    <w:bookmarkEnd w:id="32"/>
    <w:bookmarkStart w:id="33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authors declare no competing interests.</w:t>
      </w:r>
    </w:p>
    <w:p>
      <w:r>
        <w:pict>
          <v:rect style="width:0;height:1.5pt" o:hralign="center" o:hrstd="t" o:hr="t"/>
        </w:pict>
      </w:r>
    </w:p>
    <w:bookmarkEnd w:id="33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Lundegaard C, Lund O, Nielsen M. State of the art and challenges in sequence based T-cell epitope prediction. Immunome Res 2011;6(Suppl 2):S3.</w:t>
      </w:r>
    </w:p>
    <w:p>
      <w:pPr>
        <w:pStyle w:val="Compact"/>
        <w:numPr>
          <w:ilvl w:val="0"/>
          <w:numId w:val="1002"/>
        </w:numPr>
      </w:pPr>
      <w:r>
        <w:t xml:space="preserve">Backert L, Kohlbacher O. Immunoinformatics and epitope prediction in the age of genomic medicine. Genome Med 2015;7:119.</w:t>
      </w:r>
    </w:p>
    <w:p>
      <w:pPr>
        <w:pStyle w:val="Compact"/>
        <w:numPr>
          <w:ilvl w:val="0"/>
          <w:numId w:val="1002"/>
        </w:numPr>
      </w:pPr>
      <w:r>
        <w:t xml:space="preserve">Robinson J, Halliwell JA, Hayhurst JD, et al. The IPD and IMGT/HLA database: allele variant databases. Nucleic Acids Res 2015;43:D423-D431.</w:t>
      </w:r>
    </w:p>
    <w:p>
      <w:pPr>
        <w:pStyle w:val="Compact"/>
        <w:numPr>
          <w:ilvl w:val="0"/>
          <w:numId w:val="1002"/>
        </w:numPr>
      </w:pPr>
      <w:r>
        <w:t xml:space="preserve">Reynisson B, Alvarez B, Paul S, et al. NetMHCpan-4.1 and NetMHCIIpan-4.0: improved predictions of MHC antigen presentation by concurrent motif deconvolution and integration of MS MHC eluted ligand data. Nucleic Acids Res 2020;48:W449-W454.</w:t>
      </w:r>
    </w:p>
    <w:p>
      <w:pPr>
        <w:pStyle w:val="Compact"/>
        <w:numPr>
          <w:ilvl w:val="0"/>
          <w:numId w:val="1002"/>
        </w:numPr>
      </w:pPr>
      <w:r>
        <w:t xml:space="preserve">O’Donnell TJ, Rubinsteyn A, Laserson U. MHCflurry 2.0: improved pan-allele prediction of MHC class I-presented peptides by incorporating antigen processing. Cell Syst 2020;11:42-48.</w:t>
      </w:r>
    </w:p>
    <w:p>
      <w:pPr>
        <w:pStyle w:val="Compact"/>
        <w:numPr>
          <w:ilvl w:val="0"/>
          <w:numId w:val="1002"/>
        </w:numPr>
      </w:pPr>
      <w:r>
        <w:t xml:space="preserve">Albert BA, Yang Y, Shao XM, et al. Deep neural networks predict class I major histocompatibility complex epitope presentation and transfer learn neoepitope immunogenicity. Nat Mach Intell 2023;5:861-872.</w:t>
      </w:r>
    </w:p>
    <w:p>
      <w:pPr>
        <w:pStyle w:val="Compact"/>
        <w:numPr>
          <w:ilvl w:val="0"/>
          <w:numId w:val="1002"/>
        </w:numPr>
      </w:pPr>
      <w:r>
        <w:t xml:space="preserve">Wohlwend J, Nathan A, Barzilay R, et al. Deep learning enhances the prediction of HLA class I-presented CD8+ T cell epitopes in foreign pathogens. Nat Mach Intell 2025. doi:10.1038/s42256-024-00971-y.</w:t>
      </w:r>
    </w:p>
    <w:p>
      <w:pPr>
        <w:pStyle w:val="Compact"/>
        <w:numPr>
          <w:ilvl w:val="0"/>
          <w:numId w:val="1002"/>
        </w:numPr>
      </w:pPr>
      <w:r>
        <w:t xml:space="preserve">Mares S, Espinoza Weinberger A, Ioannidis NM. Generation of structure-guided pMHC-I libraries using diffusion models. arXiv:2507.08902 (ICML 2025 Generative AI and Biology Workshop).</w:t>
      </w:r>
    </w:p>
    <w:p>
      <w:pPr>
        <w:pStyle w:val="Compact"/>
        <w:numPr>
          <w:ilvl w:val="0"/>
          <w:numId w:val="1002"/>
        </w:numPr>
      </w:pPr>
      <w:r>
        <w:t xml:space="preserve">Vita R, Mahajan S, Overton JA, et al. The Immune Epitope Database (IEDB): 2018 update. Nucleic Acids Res 2019;47:D339-D343.</w:t>
      </w:r>
    </w:p>
    <w:p>
      <w:pPr>
        <w:pStyle w:val="Compact"/>
        <w:numPr>
          <w:ilvl w:val="0"/>
          <w:numId w:val="1002"/>
        </w:numPr>
      </w:pPr>
      <w:r>
        <w:t xml:space="preserve">Henikoff S, Henikoff JG. Amino acid substitution matrices from protein blocks. Proc Natl Acad Sci USA 1992;89:10915-10919.</w:t>
      </w:r>
    </w:p>
    <w:p>
      <w:pPr>
        <w:pStyle w:val="Compact"/>
        <w:numPr>
          <w:ilvl w:val="0"/>
          <w:numId w:val="1002"/>
        </w:numPr>
      </w:pPr>
      <w:r>
        <w:t xml:space="preserve">Rives A, Meier J, Sercu T, et al. Biological structure and function emerge from scaling unsupervised learning to 250 million protein sequences. Proc Natl Acad Sci USA 2021;118:e2016239118.</w:t>
      </w:r>
    </w:p>
    <w:p>
      <w:pPr>
        <w:pStyle w:val="Compact"/>
        <w:numPr>
          <w:ilvl w:val="0"/>
          <w:numId w:val="1002"/>
        </w:numPr>
      </w:pPr>
      <w:r>
        <w:t xml:space="preserve">Preibisch G, Tyrolski M, Kucharski P, et al. Resolution of recursive data corruption to transform T-cell epitope discovery. bioRxiv 2026.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2026-10-17T00:05:01Z</dcterms:created>
  <dcterms:modified xsi:type="dcterms:W3CDTF">2026-10-17T00:05:01Z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