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d6405eac86d9e9d5accb21c0a96213a99fbb697"/>
    <w:p>
      <w:pPr>
        <w:pStyle w:val="Heading1"/>
      </w:pPr>
      <w:r>
        <w:t xml:space="preserve">Label-Fidelity Decomposition Reveals Label Circularity in Peptide-MHC-I Benchmarking</w:t>
      </w:r>
    </w:p>
    <w:p>
      <w:pPr>
        <w:pStyle w:val="FirstParagraph"/>
      </w:pPr>
      <w:r>
        <w:rPr>
          <w:b/>
          <w:bCs/>
        </w:rPr>
        <w:t xml:space="preserve">Authors</w:t>
      </w:r>
      <w:r>
        <w:t xml:space="preserve">: Yunshi Huang</w:t>
      </w:r>
      <w:r>
        <w:t xml:space="preserve">1,†</w:t>
      </w:r>
      <w:r>
        <w:t xml:space="preserve">, Weisheng Chen</w:t>
      </w:r>
      <w:r>
        <w:t xml:space="preserve">2,†</w:t>
      </w:r>
      <w:r>
        <w:t xml:space="preserve">, Yiqi Cai</w:t>
      </w:r>
      <w:r>
        <w:t xml:space="preserve">2</w:t>
      </w:r>
      <w:r>
        <w:t xml:space="preserve">, Xiaopeng Zhuang</w:t>
      </w:r>
      <w:r>
        <w:t xml:space="preserve">2</w:t>
      </w:r>
      <w:r>
        <w:t xml:space="preserve">, Zhuxian Zhou</w:t>
      </w:r>
      <w:r>
        <w:t xml:space="preserve">3</w:t>
      </w:r>
      <w:r>
        <w:t xml:space="preserve">, Xiangyang Xue</w:t>
      </w:r>
      <w:r>
        <w:t xml:space="preserve">4,</w:t>
      </w:r>
      <w:r>
        <w:rPr>
          <w:i/>
          <w:iCs/>
        </w:rPr>
        <w:t xml:space="preserve">, Zhuha Zhou</w:t>
      </w:r>
      <w:r>
        <w:rPr>
          <w:i/>
          <w:iCs/>
        </w:rPr>
        <w:t xml:space="preserve">2,</w:t>
      </w:r>
    </w:p>
    <w:p>
      <w:pPr>
        <w:pStyle w:val="BodyText"/>
      </w:pPr>
      <w:r>
        <w:rPr>
          <w:b/>
          <w:bCs/>
        </w:rPr>
        <w:t xml:space="preserve">Word count</w:t>
      </w:r>
      <w:r>
        <w:t xml:space="preserve">: ~4,700 (main text) |</w:t>
      </w:r>
      <w:r>
        <w:t xml:space="preserve"> </w:t>
      </w:r>
      <w:r>
        <w:rPr>
          <w:b/>
          <w:bCs/>
        </w:rPr>
        <w:t xml:space="preserve">Tables</w:t>
      </w:r>
      <w:r>
        <w:t xml:space="preserve">: 10 |</w:t>
      </w:r>
      <w:r>
        <w:t xml:space="preserve"> </w:t>
      </w:r>
      <w:r>
        <w:rPr>
          <w:b/>
          <w:bCs/>
        </w:rPr>
        <w:t xml:space="preserve">Figures</w:t>
      </w:r>
      <w:r>
        <w:t xml:space="preserve">: 11</w:t>
      </w:r>
    </w:p>
    <w:p>
      <w:pPr>
        <w:pStyle w:val="BodyText"/>
      </w:pPr>
      <w:r>
        <w:rPr>
          <w:b/>
          <w:bCs/>
        </w:rPr>
        <w:t xml:space="preserve">Affiliations</w:t>
      </w:r>
      <w:r>
        <w:t xml:space="preserve">:</w:t>
      </w:r>
      <w:r>
        <w:br/>
      </w:r>
      <w:r>
        <w:t xml:space="preserve">1</w:t>
      </w:r>
      <w:r>
        <w:t xml:space="preserve"> </w:t>
      </w:r>
      <w:r>
        <w:t xml:space="preserve">Department of General Surgery, The First Affiliated Hospital of Wenzhou Medical University, Wenzhou, China</w:t>
      </w:r>
      <w:r>
        <w:br/>
      </w:r>
      <w:r>
        <w:t xml:space="preserve">2</w:t>
      </w:r>
      <w:r>
        <w:t xml:space="preserve"> </w:t>
      </w:r>
      <w:r>
        <w:t xml:space="preserve">Department of Gastroenterology Surgery, The First Affiliated Hospital of Wenzhou Medical University, Nanbaixiang Street, Ouhai District, 325000 Wenzhou, Zhejiang, China</w:t>
      </w:r>
      <w:r>
        <w:br/>
      </w:r>
      <w:r>
        <w:t xml:space="preserve">3</w:t>
      </w:r>
      <w:r>
        <w:t xml:space="preserve"> </w:t>
      </w:r>
      <w:r>
        <w:t xml:space="preserve">Center for Bionanoengineering, College of Chemical and Biological Engineering, Zhejiang University, Hangzhou 310027, China</w:t>
      </w:r>
      <w:r>
        <w:br/>
      </w:r>
      <w:r>
        <w:t xml:space="preserve">4</w:t>
      </w:r>
      <w:r>
        <w:t xml:space="preserve"> </w:t>
      </w:r>
      <w:r>
        <w:t xml:space="preserve">Zhejiang Key Laboratory of Intelligent Cancer Biomarker Discovery and Translation, The First Affiliated Hospital of Wenzhou Medical University, Wenzhou, China</w:t>
      </w:r>
    </w:p>
    <w:p>
      <w:pPr>
        <w:pStyle w:val="BodyText"/>
      </w:pPr>
      <w:r>
        <w:t xml:space="preserve">†</w:t>
      </w:r>
      <w:r>
        <w:t xml:space="preserve"> </w:t>
      </w:r>
      <w:r>
        <w:t xml:space="preserve">These authors contributed equally to this work.</w:t>
      </w:r>
      <w:r>
        <w:br/>
      </w:r>
      <w:r>
        <w:t xml:space="preserve">*</w:t>
      </w:r>
      <w:r>
        <w:t xml:space="preserve"> </w:t>
      </w:r>
      <w:r>
        <w:t xml:space="preserve">Corresponding authors: Xiangyang Xue, wzxxy@wmu.edu.cn, ORCID: 0000-0002-8670-2016; Zhuha Zhou, zhouzhuha@wmu.edu.cn, ORCID: 0009-0005-1818-4789</w:t>
      </w:r>
    </w:p>
    <w:p>
      <w:r>
        <w:pict>
          <v:rect style="width:0;height:1.5pt" o:hralign="center" o:hrstd="t" o:hr="t"/>
        </w:pict>
      </w:r>
    </w:p>
    <w:bookmarkStart w:id="9" w:name="abstract"/>
    <w:p>
      <w:pPr>
        <w:pStyle w:val="Heading2"/>
      </w:pPr>
      <w:r>
        <w:t xml:space="preserve">Abstract</w:t>
      </w:r>
    </w:p>
    <w:p>
      <w:pPr>
        <w:pStyle w:val="FirstParagraph"/>
      </w:pPr>
      <w:r>
        <w:t xml:space="preserve">Peptide-MHC-I binding predictors are routinely trained on computationally labelled data, yet benchmark scores that merely reproduce the labeler’s decision boundary are rarely distinguished from true binding accuracy. We quantify a failure mode —</w:t>
      </w:r>
      <w:r>
        <w:t xml:space="preserve"> </w:t>
      </w:r>
      <w:r>
        <w:rPr>
          <w:b/>
          <w:bCs/>
        </w:rPr>
        <w:t xml:space="preserve">label circularity</w:t>
      </w:r>
      <w:r>
        <w:t xml:space="preserve"> </w:t>
      </w:r>
      <w:r>
        <w:t xml:space="preserve">— by decomposing reported accuracy into label self-consistency versus cross-labeler transferability (a</w:t>
      </w:r>
      <w:r>
        <w:t xml:space="preserve"> </w:t>
      </w:r>
      <w:r>
        <w:rPr>
          <w:b/>
          <w:bCs/>
        </w:rPr>
        <w:t xml:space="preserve">label-fidelity decomposition</w:t>
      </w:r>
      <w:r>
        <w:t xml:space="preserve">), and distil a benchmark-hygiene checklist to detect it. Re-analysing a 5,190-peptide HLA-A*02:01 benchmark under controlled conditions dissolved three apparent findings — per-allele superiority over a pan model,</w:t>
      </w:r>
      <w:r>
        <w:t xml:space="preserve"> </w:t>
      </w:r>
      <w:r>
        <w:t xml:space="preserve">“label quality dominates architecture”</w:t>
      </w:r>
      <w:r>
        <w:t xml:space="preserve">, and</w:t>
      </w:r>
      <w:r>
        <w:t xml:space="preserve"> </w:t>
      </w:r>
      <w:r>
        <w:t xml:space="preserve">“simple beats complex”</w:t>
      </w:r>
      <w:r>
        <w:t xml:space="preserve"> </w:t>
      </w:r>
      <w:r>
        <w:t xml:space="preserve">— each traced to a distinct confound (a 10.6× data-size artifact, a degenerate null, and stale checkpoints). A zero-parameter anchor rule underperformed the trained model on non-canonical binders, which reached ~0.65 sensitivity across four predictors at unmatched operating points, including BigMHC. A 6,524-affinity benchmark (AUC 0.942) and a post-2022 temporal holdout bounded label self-consistency and generalisation. Code, models, and data are available at github.com/woodhaha/peptide-mhc-benchmark.</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MHC class I molecules present 8–11-mer peptides to CD8+ T cells, and accurate prediction of peptide–MHC-I binding underpins epitope discovery for vaccine design and cancer immunotherapy [1,2]. For HLA-A*02:01 — the most prevalent class I allele globally — binding is dominated by two primary anchor positions: position 2 (p2, hydrophobic: Leu/Met/Ile/Val) and position 9 (p9, C-terminal, Val/Leu preferred) [3,4]. Computational predictors have evolved from position-specific scoring matrices to neural networks and pan-specific tools such as NetMHCpan [5], MHCflurry [6], BigMHC [7], and MUNIS [8], increasingly using protein language model embeddings [9].</w:t>
      </w:r>
    </w:p>
    <w:p>
      <w:pPr>
        <w:pStyle w:val="BodyText"/>
      </w:pPr>
      <w:r>
        <w:t xml:space="preserve">Several gaps remain. A particularly under-examined one is</w:t>
      </w:r>
      <w:r>
        <w:t xml:space="preserve"> </w:t>
      </w:r>
      <w:r>
        <w:rPr>
          <w:b/>
          <w:bCs/>
        </w:rPr>
        <w:t xml:space="preserve">label circularity</w:t>
      </w:r>
      <w:r>
        <w:t xml:space="preserve">: because &gt;55% of IEDB entries are computationally rather than experimentally labelled [10], a predictor’s apparent accuracy can track the decision boundary of whichever labeler trained it rather than true binding. The impact of training-label quality is seldom quantified, and no reusable checklist exists for detecting such confounds. Head-to-head architecture comparisons under fully controlled conditions (identical training data, encoding, evaluation) are uncommon. Whether a single pan-specific model can replace per-allele specialists, and how hard non-canonical binders are across alleles, remains unsettled. And the translation of binding prediction to real-world epitope discovery is rarely demonstrated in a unified, reproducible pipeline.</w:t>
      </w:r>
    </w:p>
    <w:p>
      <w:pPr>
        <w:pStyle w:val="BodyText"/>
      </w:pPr>
      <w:r>
        <w:t xml:space="preserve">To isolate the effects of architecture choice, label quality, and encoding, we present a controlled benchmark. We compare six architectures under multi-seed uncertainty and find a modest but measurable architecture effect, confirm that random labels fall to chance, and evaluate ESM-2 embeddings against BLOSUM62 with a mean-pooled ablation. We further validate against 42 A*02:01-verified IEDB epitopes, scan proteins and cancer mutations as a translational application, and extend to five HLA-I alleles and a 15-allele panel to test whether a single rebalanced pan model matches per-allele specialists and to quantify how hard non-canonical binders are for four sequence predictors.</w:t>
      </w:r>
    </w:p>
    <w:bookmarkEnd w:id="10"/>
    <w:bookmarkStart w:id="23" w:name="methods"/>
    <w:p>
      <w:pPr>
        <w:pStyle w:val="Heading2"/>
      </w:pPr>
      <w:r>
        <w:t xml:space="preserve">2 Methods</w:t>
      </w:r>
    </w:p>
    <w:bookmarkStart w:id="11" w:name="training-data-and-labels"/>
    <w:p>
      <w:pPr>
        <w:pStyle w:val="Heading3"/>
      </w:pPr>
      <w:r>
        <w:t xml:space="preserve">2.1 Training data and labels</w:t>
      </w:r>
    </w:p>
    <w:p>
      <w:pPr>
        <w:pStyle w:val="FirstParagraph"/>
      </w:pPr>
      <w:r>
        <w:t xml:space="preserve">100,000 random 9-mer peptides were generated by uniform sampling of the 20 standard amino acids. Each was labelled with MHCflurry 2.2.1 against HLA-A*02:01 and assigned to Strong Binder (SB, percentile rank &lt;0.5%), Weak Binder (WB, 0.5%≤rank&lt;2.0%), or Non-Binder (NB, rank ≥2.0%) following the netMHCpan convention [5]. The resulting distribution (1.7% SB, 5.1% WB, 93.2% NB) was balanced by downsampling to 1,730 per class (n=5,190), partitioned 90/10 into training (n=4,671) and held-out test (n=519) sets with stratified sampling (seed 42). Two comparator labelling strategies were implemented: a PSSM encoding crystallographic A*02:01 anchor preferences, and random synthetic labels as a baseline control. A held-out benchmark of 42 experimentally validated IEDB epitopes (HLA-A*02:01-restricted, with positive binding/T-cell assay evidence, re-verified against the IEDB on 2026-10-23) plus 20 homopolymer negatives (≤2 unique amino acids) was curated from the IEDB (query-api.iedb.org); label-circularity overlap was determined by sequence-identity match against the IEDB entries in MHCflurry’s training corpus.</w:t>
      </w:r>
    </w:p>
    <w:bookmarkEnd w:id="11"/>
    <w:bookmarkStart w:id="12" w:name="peptide-encoding"/>
    <w:p>
      <w:pPr>
        <w:pStyle w:val="Heading3"/>
      </w:pPr>
      <w:r>
        <w:t xml:space="preserve">2.2 Peptide encoding</w:t>
      </w:r>
    </w:p>
    <w:p>
      <w:pPr>
        <w:pStyle w:val="FirstParagraph"/>
      </w:pPr>
      <w:r>
        <w:t xml:space="preserve">Each 9-mer was encoded with the BLOSUM62 matrix [11], min–max normalized, producing a 9×20 matrix flattened to 180 dimensions for fully connected networks. ESM-2 embeddings [12] were extracted at t6 (2,880-dim per-peptide; 320 per position × 9) and t12 (4,320-dim; 480 per position × 9) depths — the two smallest ESM-2 checkpoints (8M and 35M parameters); a mean-pooled t6 variant (320-dim) served as an ablation control destroying positional information.</w:t>
      </w:r>
    </w:p>
    <w:bookmarkEnd w:id="12"/>
    <w:bookmarkStart w:id="13" w:name="model-architectures"/>
    <w:p>
      <w:pPr>
        <w:pStyle w:val="Heading3"/>
      </w:pPr>
      <w:r>
        <w:t xml:space="preserve">2.3 Model architectures</w:t>
      </w:r>
    </w:p>
    <w:p>
      <w:pPr>
        <w:pStyle w:val="FirstParagraph"/>
      </w:pPr>
      <w:r>
        <w:t xml:space="preserve">Six classifiers were implemented: (i) FFN [13]: 180→90→3, 49K params; (ii) Deep FFN: 180→360→180→90→45→3 with batch normalisation and dropout, 152K params; (iii) CNN: Conv2D(32,3×3) + FFN body, 1.05M params; (iv) LSTM(64)→dense(32)→3, 24K params; (v) ResNet-style stem + 3 residual blocks, 325K params; (vi) Random Forest (100 trees). For ESM-2 embeddings an FFN classifier with a 256→128→64 stack was trained. All networks used cross-entropy loss with Adam or RMSprop (lr 0.001), 150 epochs, batch size 50, 20% internal validation split, early stopping (patience 10), and learning-rate reduction on plateau. Five-fold stratified cross-validation was performed for the FFN. The held-out test set (519 peptides) was disjoint from training and used for all reported metrics.</w:t>
      </w:r>
    </w:p>
    <w:bookmarkEnd w:id="13"/>
    <w:bookmarkStart w:id="14" w:name="X72628be123c5a4a8c66efdf6dd9243e4959fea1"/>
    <w:p>
      <w:pPr>
        <w:pStyle w:val="Heading3"/>
      </w:pPr>
      <w:r>
        <w:t xml:space="preserve">2.4 Protein scanning, mutation analysis, and structure</w:t>
      </w:r>
    </w:p>
    <w:p>
      <w:pPr>
        <w:pStyle w:val="FirstParagraph"/>
      </w:pPr>
      <w:r>
        <w:t xml:space="preserve">Ten therapeutically relevant proteins (MART-1, gp100, tyrosinase, NY-ESO-1, WT1, p53, KRAS, influenza M1, CMV pp65, SARS-CoV-2 spike RBD) were scanned with a sliding 9-mer window (stride 1; 3,536 windows). Sixteen recurrent hotspot mutations (7 p53, 9 KRAS) were analyzed by comparing wild-type and mutant binding scores; mutations were classified as Created/Enhanced/Destroyed/Unchanged. The KRAS G12V neoepitope YKLVVVGAV carries a non-canonical lysine at P2.</w:t>
      </w:r>
    </w:p>
    <w:bookmarkEnd w:id="14"/>
    <w:bookmarkStart w:id="15" w:name="feature-extraction"/>
    <w:p>
      <w:pPr>
        <w:pStyle w:val="Heading3"/>
      </w:pPr>
      <w:r>
        <w:t xml:space="preserve">2.5 Feature extraction</w:t>
      </w:r>
    </w:p>
    <w:p>
      <w:pPr>
        <w:pStyle w:val="FirstParagraph"/>
      </w:pPr>
      <w:r>
        <w:t xml:space="preserve">Learned features were extracted from the penultimate dense layer via truncated models. Hierarchical clustering (Ward’s method, Euclidean distance) was applied to representations of top epitope candidates; feature–binding-score correlation was assessed by Pearson’s r with a 1,000-iteration permutation test to control for chance correlations. t-SNE visualisation of the 45-dimensional penultimate layer was used to inspect class separation, and integrated gradients identified position-specific anchor contributions.</w:t>
      </w:r>
    </w:p>
    <w:bookmarkEnd w:id="15"/>
    <w:bookmarkStart w:id="22" w:name="multi-allele-extension"/>
    <w:p>
      <w:pPr>
        <w:pStyle w:val="Heading3"/>
      </w:pPr>
      <w:r>
        <w:t xml:space="preserve">2.6 Multi-allele extension</w:t>
      </w:r>
    </w:p>
    <w:bookmarkStart w:id="16" w:name="multi-allele-data-curation"/>
    <w:p>
      <w:pPr>
        <w:pStyle w:val="Heading4"/>
      </w:pPr>
      <w:r>
        <w:t xml:space="preserve">2.6.1 Multi-allele data curation</w:t>
      </w:r>
    </w:p>
    <w:p>
      <w:pPr>
        <w:pStyle w:val="FirstParagraph"/>
      </w:pPr>
      <w:r>
        <w:t xml:space="preserve">Experimentally confirmed class I binders were curated from the IEDB [14] for five common alleles (HLA-A*02:01, A*01:01, A*03:01, B*07:02, B*44:03), yielding n = 14,488 positives (canonical 11,225; Type A 151; Type B 3,112). A 15-allele panel (pan16: 10 additional alleles — A*11:01, A*24:02, B*08:01, B*15:01, B*27:05, B*35:01, B*40:01, B*49:01, B*51:01, B*57:01) was curated for generalisation testing. Protein-background negatives were sampled from natural proteomes to avoid the uniform-random decoys used in earlier evaluations. IEDB data were queried live from query-api.iedb.org (accessed 2026-08-02); the 15-allele and temporal-holdout estimates are therefore snapshot-dependent and drift slightly as the IEDB grows.</w:t>
      </w:r>
    </w:p>
    <w:bookmarkEnd w:id="16"/>
    <w:bookmarkStart w:id="17" w:name="type-ab-classification"/>
    <w:p>
      <w:pPr>
        <w:pStyle w:val="Heading4"/>
      </w:pPr>
      <w:r>
        <w:t xml:space="preserve">2.6.2 Type A/B classification</w:t>
      </w:r>
    </w:p>
    <w:p>
      <w:pPr>
        <w:pStyle w:val="FirstParagraph"/>
      </w:pPr>
      <w:r>
        <w:t xml:space="preserve">Type A (tolerated weak anchors) and Type B (energy-compensated non-canonical) were defined by whether the peptide violates the allele’s canonical anchor motif at p2/p9. Type A carries broad-only tolerated anchors (residues that appear in binding motifs but are non-canonical); Type B carries non-canonical residues at anchor positions. The two classes have different biological origins and, as we show, different prediction difficulty.</w:t>
      </w:r>
    </w:p>
    <w:bookmarkEnd w:id="17"/>
    <w:bookmarkStart w:id="18" w:name="pan-model-and-per-allele-comparators"/>
    <w:p>
      <w:pPr>
        <w:pStyle w:val="Heading4"/>
      </w:pPr>
      <w:r>
        <w:t xml:space="preserve">2.6.3 Pan model and per-allele comparators</w:t>
      </w:r>
    </w:p>
    <w:p>
      <w:pPr>
        <w:pStyle w:val="FirstParagraph"/>
      </w:pPr>
      <w:r>
        <w:t xml:space="preserve">The pan-specific DFFN uses BLOSUM62 encoding [11] through a 360–180–90–45 hidden stack with batch normalisation and dropout. Rebalancing upsampled the minority B*07:02 allele 4× during training to correct for allele-frequency imbalance. Five seeds (0, 1, 42, 123, 2024) were used; per-seed variation arises from data-sampling RNG. Per-allele models (one per allele) and a pan16 model (15 alleles, per-allele minimum 2,000 upsampling) were trained with the same recipe. All per-allele and pan models were trained on synthetic motif-biased and random 9-mers labelled by MHCflurry (50/50 mix, seed 42), not on the IEDB positives; the 14,488 experimentally confirmed IEDB positives therefore constitute a held-out evaluation set unseen during training.</w:t>
      </w:r>
    </w:p>
    <w:bookmarkEnd w:id="18"/>
    <w:bookmarkStart w:id="19" w:name="comparator-predictors"/>
    <w:p>
      <w:pPr>
        <w:pStyle w:val="Heading4"/>
      </w:pPr>
      <w:r>
        <w:t xml:space="preserve">2.6.4 Comparator predictors</w:t>
      </w:r>
    </w:p>
    <w:p>
      <w:pPr>
        <w:pStyle w:val="FirstParagraph"/>
      </w:pPr>
      <w:r>
        <w:t xml:space="preserve">MHCflurry 2.2.1 [6] served as an independent sequence predictor (affinity threshold 500 nM). MUNIS [8] — a second sequence-based predictor using ESM-2 embeddings [9] — served as an independent sequence comparator, run on the n = 3,112 Type B population plus canonical controls.</w:t>
      </w:r>
    </w:p>
    <w:bookmarkEnd w:id="19"/>
    <w:bookmarkStart w:id="20" w:name="temporal-holdout"/>
    <w:p>
      <w:pPr>
        <w:pStyle w:val="Heading4"/>
      </w:pPr>
      <w:r>
        <w:t xml:space="preserve">2.6.5 Temporal holdout</w:t>
      </w:r>
    </w:p>
    <w:p>
      <w:pPr>
        <w:pStyle w:val="FirstParagraph"/>
      </w:pPr>
      <w:r>
        <w:t xml:space="preserve">To address label circularity [10], IEDB epitopes published after 2022 (post-2022, unseen by MHCflurry’s ~pre-2021 training data) were compared against pre-2021 (in-distribution) epitopes at sensitivity threshold 0.95.</w:t>
      </w:r>
    </w:p>
    <w:bookmarkEnd w:id="20"/>
    <w:bookmarkStart w:id="21" w:name="evaluation"/>
    <w:p>
      <w:pPr>
        <w:pStyle w:val="Heading4"/>
      </w:pPr>
      <w:r>
        <w:t xml:space="preserve">2.6.6 Evaluation</w:t>
      </w:r>
    </w:p>
    <w:p>
      <w:pPr>
        <w:pStyle w:val="FirstParagraph"/>
      </w:pPr>
      <w:r>
        <w:t xml:space="preserve">Sensitivity was computed with protein-background negatives and fixed thresholds (0.95 for the pan model; 500 nM for MHCflurry; 5th percentile of canonical scores for MUNIS and BigMHC). Wilson 95% confidence intervals are reported for pooled estimates.</w:t>
      </w:r>
    </w:p>
    <w:bookmarkEnd w:id="21"/>
    <w:bookmarkEnd w:id="22"/>
    <w:bookmarkEnd w:id="23"/>
    <w:bookmarkStart w:id="36" w:name="results"/>
    <w:p>
      <w:pPr>
        <w:pStyle w:val="Heading2"/>
      </w:pPr>
      <w:r>
        <w:t xml:space="preserve">3 Results</w:t>
      </w:r>
    </w:p>
    <w:bookmarkStart w:id="24" w:name="X328ccea0a1818c4ae7426a226dff6f18d15ba8f"/>
    <w:p>
      <w:pPr>
        <w:pStyle w:val="Heading3"/>
      </w:pPr>
      <w:r>
        <w:t xml:space="preserve">3.1 Training data and architecture comparison</w:t>
      </w:r>
    </w:p>
    <w:p>
      <w:pPr>
        <w:pStyle w:val="FirstParagraph"/>
      </w:pPr>
      <w:r>
        <w:t xml:space="preserve">MHCflurry labelling of 100,000 random 9-mers yielded 1.7% SB, 5.1% WB, 93.2% NB; after balancing, 5,190 peptides (1,730/class). Across five training seeds, the CNN achieved the highest accuracy (91.9% ± 0.9%; Table 1, Figure 1), modestly ahead of the Deep FFN (90.6% ± 1.2%), the FFN (89.8% ± 1.1%), and the LSTM (89.7% ± 0.9%) — the top four architectures within ~2 percentage points, a range within the combined seed-plus-binomial uncertainty (n=519; 95% CI CNN [0.889, 0.949] vs Deep FFN [0.872, 0.940]) — while ResNet (87.6% ± 1.8%) and Random Forest (79.7% ± 0.4%) were clearly worse. Two external predictors frame this comparison (Table 1): MHCflurry 2.2.1 itself scores 100% on the labels it produced — an expected ceiling, not evidence of superiority — while the independent state-of-the-art predictor NetMHCpan-4.1, which was not trained on these labels, agrees with them on only 62.24% (323/519). The 8.1-point gap between the labeler (100%) and the best finite-sample approximation (91.9% for the CNN) is information loss from finite samples; the far larger ~30-point gap to NetMHCpan (62.24%) reflects, in unknown proportion, label-definition divergence and label circularity (see Discussion). The WB class was consistently the most difficult (F1 0.752–0.880). These class-balanced accuracies overstate real-world utility: under the natural class prior (1.7% SB, 5.1% WB, 93.2% NB), a trivial always-non-binder classifier reaches 93.2% accuracy, above every model’s balanced accuracy, so natural-prior precision/PPV should be reported (Box 1, item 5).</w:t>
      </w:r>
    </w:p>
    <w:p>
      <w:pPr>
        <w:pStyle w:val="BodyText"/>
      </w:pPr>
      <w:r>
        <w:rPr>
          <w:b/>
          <w:bCs/>
        </w:rPr>
        <w:t xml:space="preserve">Table 1.</w:t>
      </w:r>
      <w:r>
        <w:t xml:space="preserve"> </w:t>
      </w:r>
      <w:r>
        <w:t xml:space="preserve">Model performance on the MHCflurry-labelled test set (mean ± SD across five training seeds, n=519).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jc w:val="center"/>
            </w:pPr>
            <w:r>
              <w:t xml:space="preserve">Accuracy (%)</w:t>
            </w:r>
          </w:p>
        </w:tc>
        <w:tc>
          <w:tcPr/>
          <w:p>
            <w:pPr>
              <w:pStyle w:val="Compact"/>
              <w:jc w:val="center"/>
            </w:pPr>
            <w:r>
              <w:t xml:space="preserve">Parameters</w:t>
            </w:r>
          </w:p>
        </w:tc>
      </w:tr>
      <w:tr>
        <w:tc>
          <w:tcPr/>
          <w:p>
            <w:pPr>
              <w:pStyle w:val="Compact"/>
            </w:pPr>
            <w:r>
              <w:t xml:space="preserve">CNN</w:t>
            </w:r>
          </w:p>
        </w:tc>
        <w:tc>
          <w:tcPr/>
          <w:p>
            <w:pPr>
              <w:pStyle w:val="Compact"/>
              <w:jc w:val="center"/>
            </w:pPr>
            <w:r>
              <w:rPr>
                <w:b/>
                <w:bCs/>
              </w:rPr>
              <w:t xml:space="preserve">91.9 ± 0.9</w:t>
            </w:r>
          </w:p>
        </w:tc>
        <w:tc>
          <w:tcPr/>
          <w:p>
            <w:pPr>
              <w:pStyle w:val="Compact"/>
              <w:jc w:val="center"/>
            </w:pPr>
            <w:r>
              <w:t xml:space="preserve">1,053,863</w:t>
            </w:r>
          </w:p>
        </w:tc>
      </w:tr>
      <w:tr>
        <w:tc>
          <w:tcPr/>
          <w:p>
            <w:pPr>
              <w:pStyle w:val="Compact"/>
            </w:pPr>
            <w:r>
              <w:t xml:space="preserve">Deep FFN</w:t>
            </w:r>
          </w:p>
        </w:tc>
        <w:tc>
          <w:tcPr/>
          <w:p>
            <w:pPr>
              <w:pStyle w:val="Compact"/>
              <w:jc w:val="center"/>
            </w:pPr>
            <w:r>
              <w:t xml:space="preserve">90.6 ± 1.2</w:t>
            </w:r>
          </w:p>
        </w:tc>
        <w:tc>
          <w:tcPr/>
          <w:p>
            <w:pPr>
              <w:pStyle w:val="Compact"/>
              <w:jc w:val="center"/>
            </w:pPr>
            <w:r>
              <w:t xml:space="preserve">152,823</w:t>
            </w:r>
          </w:p>
        </w:tc>
      </w:tr>
      <w:tr>
        <w:tc>
          <w:tcPr/>
          <w:p>
            <w:pPr>
              <w:pStyle w:val="Compact"/>
            </w:pPr>
            <w:r>
              <w:t xml:space="preserve">FFN (Nielsen)</w:t>
            </w:r>
          </w:p>
        </w:tc>
        <w:tc>
          <w:tcPr/>
          <w:p>
            <w:pPr>
              <w:pStyle w:val="Compact"/>
              <w:jc w:val="center"/>
            </w:pPr>
            <w:r>
              <w:t xml:space="preserve">89.8 ± 1.1</w:t>
            </w:r>
          </w:p>
        </w:tc>
        <w:tc>
          <w:tcPr/>
          <w:p>
            <w:pPr>
              <w:pStyle w:val="Compact"/>
              <w:jc w:val="center"/>
            </w:pPr>
            <w:r>
              <w:t xml:space="preserve">49,143</w:t>
            </w:r>
          </w:p>
        </w:tc>
      </w:tr>
      <w:tr>
        <w:tc>
          <w:tcPr/>
          <w:p>
            <w:pPr>
              <w:pStyle w:val="Compact"/>
            </w:pPr>
            <w:r>
              <w:t xml:space="preserve">LSTM</w:t>
            </w:r>
          </w:p>
        </w:tc>
        <w:tc>
          <w:tcPr/>
          <w:p>
            <w:pPr>
              <w:pStyle w:val="Compact"/>
              <w:jc w:val="center"/>
            </w:pPr>
            <w:r>
              <w:t xml:space="preserve">89.7 ± 0.9</w:t>
            </w:r>
          </w:p>
        </w:tc>
        <w:tc>
          <w:tcPr/>
          <w:p>
            <w:pPr>
              <w:pStyle w:val="Compact"/>
              <w:jc w:val="center"/>
            </w:pPr>
            <w:r>
              <w:t xml:space="preserve">23,939</w:t>
            </w:r>
          </w:p>
        </w:tc>
      </w:tr>
      <w:tr>
        <w:tc>
          <w:tcPr/>
          <w:p>
            <w:pPr>
              <w:pStyle w:val="Compact"/>
            </w:pPr>
            <w:r>
              <w:t xml:space="preserve">ResNet</w:t>
            </w:r>
          </w:p>
        </w:tc>
        <w:tc>
          <w:tcPr/>
          <w:p>
            <w:pPr>
              <w:pStyle w:val="Compact"/>
              <w:jc w:val="center"/>
            </w:pPr>
            <w:r>
              <w:t xml:space="preserve">87.6 ± 1.8</w:t>
            </w:r>
          </w:p>
        </w:tc>
        <w:tc>
          <w:tcPr/>
          <w:p>
            <w:pPr>
              <w:pStyle w:val="Compact"/>
              <w:jc w:val="center"/>
            </w:pPr>
            <w:r>
              <w:t xml:space="preserve">324,931</w:t>
            </w:r>
          </w:p>
        </w:tc>
      </w:tr>
      <w:tr>
        <w:tc>
          <w:tcPr/>
          <w:p>
            <w:pPr>
              <w:pStyle w:val="Compact"/>
            </w:pPr>
            <w:r>
              <w:t xml:space="preserve">Random Forest</w:t>
            </w:r>
          </w:p>
        </w:tc>
        <w:tc>
          <w:tcPr/>
          <w:p>
            <w:pPr>
              <w:pStyle w:val="Compact"/>
              <w:jc w:val="center"/>
            </w:pPr>
            <w:r>
              <w:t xml:space="preserve">79.7 ± 0.4</w:t>
            </w:r>
          </w:p>
        </w:tc>
        <w:tc>
          <w:tcPr/>
          <w:p>
            <w:pPr>
              <w:pStyle w:val="Compact"/>
              <w:jc w:val="center"/>
            </w:pPr>
            <w:r>
              <w:t xml:space="preserve">–</w:t>
            </w:r>
          </w:p>
        </w:tc>
      </w:tr>
      <w:tr>
        <w:tc>
          <w:tcPr/>
          <w:p>
            <w:pPr>
              <w:pStyle w:val="Compact"/>
            </w:pPr>
            <w:r>
              <w:t xml:space="preserve">MHCflurry 2.2.1 (labeler)</w:t>
            </w:r>
          </w:p>
        </w:tc>
        <w:tc>
          <w:tcPr/>
          <w:p>
            <w:pPr>
              <w:pStyle w:val="Compact"/>
              <w:jc w:val="center"/>
            </w:pPr>
            <w:r>
              <w:t xml:space="preserve">100</w:t>
            </w:r>
          </w:p>
        </w:tc>
        <w:tc>
          <w:tcPr/>
          <w:p>
            <w:pPr>
              <w:pStyle w:val="Compact"/>
              <w:jc w:val="center"/>
            </w:pPr>
            <w:r>
              <w:t xml:space="preserve">—</w:t>
            </w:r>
          </w:p>
        </w:tc>
      </w:tr>
      <w:tr>
        <w:tc>
          <w:tcPr/>
          <w:p>
            <w:pPr>
              <w:pStyle w:val="Compact"/>
            </w:pPr>
            <w:r>
              <w:t xml:space="preserve">NetMHCpan-4.1 (independent SOTA)</w:t>
            </w:r>
          </w:p>
        </w:tc>
        <w:tc>
          <w:tcPr/>
          <w:p>
            <w:pPr>
              <w:pStyle w:val="Compact"/>
              <w:jc w:val="center"/>
            </w:pPr>
            <w:r>
              <w:t xml:space="preserve">62.24</w:t>
            </w:r>
          </w:p>
        </w:tc>
        <w:tc>
          <w:tcPr/>
          <w:p>
            <w:pPr>
              <w:pStyle w:val="Compact"/>
              <w:jc w:val="center"/>
            </w:pPr>
            <w:r>
              <w:t xml:space="preserve">—</w:t>
            </w:r>
          </w:p>
        </w:tc>
      </w:tr>
    </w:tbl>
    <w:p>
      <w:pPr>
        <w:pStyle w:val="BodyText"/>
      </w:pPr>
      <w:r>
        <w:t xml:space="preserve">† Accuracy is agreement with the MHCflurry test labels (n=519). MHCflurry scores 100% because it produced the labels — an expected ceiling, not evidence of superiority. NetMHCpan-4.1, which was not trained on these labels, agrees with them on only 62.24%, quantifying label circularity (see Discussion).</w:t>
      </w:r>
    </w:p>
    <w:p>
      <w:pPr>
        <w:pStyle w:val="BodyText"/>
      </w:pPr>
      <w:r>
        <w:t xml:space="preserve">The modest spread among the top four architectures reflects the positional nature of peptide–MHC binding: anchor positions p2/p9 dominate, so architectures that preserve positional information perform comparably. ResNet and the Random Forest were clearly worse, consistent with the absence of translation invariance in a 9×20 encoding and, for the Random Forest, the high dimensionality of the BLOSUM62 encoding.</w:t>
      </w:r>
    </w:p>
    <w:bookmarkEnd w:id="24"/>
    <w:bookmarkStart w:id="25" w:name="label-source-controls"/>
    <w:p>
      <w:pPr>
        <w:pStyle w:val="Heading3"/>
      </w:pPr>
      <w:r>
        <w:t xml:space="preserve">3.2 Label-source controls</w:t>
      </w:r>
    </w:p>
    <w:p>
      <w:pPr>
        <w:pStyle w:val="FirstParagraph"/>
      </w:pPr>
      <w:r>
        <w:t xml:space="preserve">Label source, not architecture, sets the practical ceiling of what a model can learn (Table 2, Figure 2). Training on MHCflurry labels reached 90.6% accuracy, whereas a deterministic PSSM label source reached 82.6% (on a separate 15,000-peptide pool, so not a clean head-to-head comparison) and an i.i.d. random-label null fell to chance (34.5 ± 1.7%, close to the 33.3% expected for three balanced classes). The random-label result confirms the models learn genuine signal rather than noise; the PSSM–MHCflurry gap, though confounded by pool size, suggests MHCflurry’s labels are at least as learnable as a hand-crafted scoring matrix.</w:t>
      </w:r>
    </w:p>
    <w:p>
      <w:pPr>
        <w:pStyle w:val="BodyText"/>
      </w:pPr>
      <w:r>
        <w:rPr>
          <w:b/>
          <w:bCs/>
        </w:rPr>
        <w:t xml:space="preserve">Table 2.</w:t>
      </w:r>
      <w:r>
        <w:t xml:space="preserve"> </w:t>
      </w:r>
      <w:r>
        <w:t xml:space="preserve">Deep FFN performance across label sources (accuracy, mean ± SD across five seeds where noted).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 source</w:t>
            </w:r>
          </w:p>
        </w:tc>
        <w:tc>
          <w:tcPr/>
          <w:p>
            <w:pPr>
              <w:pStyle w:val="Compact"/>
              <w:jc w:val="center"/>
            </w:pPr>
            <w:r>
              <w:t xml:space="preserve">Accuracy (%)</w:t>
            </w:r>
          </w:p>
        </w:tc>
        <w:tc>
          <w:tcPr/>
          <w:p>
            <w:pPr>
              <w:pStyle w:val="Compact"/>
            </w:pPr>
            <w:r>
              <w:t xml:space="preserve">Notes</w:t>
            </w:r>
          </w:p>
        </w:tc>
      </w:tr>
      <w:tr>
        <w:tc>
          <w:tcPr/>
          <w:p>
            <w:pPr>
              <w:pStyle w:val="Compact"/>
            </w:pPr>
            <w:r>
              <w:t xml:space="preserve">DFFN on MHCflurry labels</w:t>
            </w:r>
          </w:p>
        </w:tc>
        <w:tc>
          <w:tcPr/>
          <w:p>
            <w:pPr>
              <w:pStyle w:val="Compact"/>
              <w:jc w:val="center"/>
            </w:pPr>
            <w:r>
              <w:t xml:space="preserve">90.6 ± 1.2</w:t>
            </w:r>
          </w:p>
        </w:tc>
        <w:tc>
          <w:tcPr/>
          <w:p>
            <w:pPr>
              <w:pStyle w:val="Compact"/>
            </w:pPr>
            <w:r>
              <w:t xml:space="preserve">5,190 peptides, 5 seeds</w:t>
            </w:r>
          </w:p>
        </w:tc>
      </w:tr>
      <w:tr>
        <w:tc>
          <w:tcPr/>
          <w:p>
            <w:pPr>
              <w:pStyle w:val="Compact"/>
            </w:pPr>
            <w:r>
              <w:t xml:space="preserve">PSSM (biophysics)</w:t>
            </w:r>
          </w:p>
        </w:tc>
        <w:tc>
          <w:tcPr/>
          <w:p>
            <w:pPr>
              <w:pStyle w:val="Compact"/>
              <w:jc w:val="center"/>
            </w:pPr>
            <w:r>
              <w:t xml:space="preserve">82.6</w:t>
            </w:r>
          </w:p>
        </w:tc>
        <w:tc>
          <w:tcPr/>
          <w:p>
            <w:pPr>
              <w:pStyle w:val="Compact"/>
            </w:pPr>
            <w:r>
              <w:t xml:space="preserve">separate 15,000-peptide pool, single seed</w:t>
            </w:r>
          </w:p>
        </w:tc>
      </w:tr>
      <w:tr>
        <w:tc>
          <w:tcPr/>
          <w:p>
            <w:pPr>
              <w:pStyle w:val="Compact"/>
            </w:pPr>
            <w:r>
              <w:t xml:space="preserve">Random (i.i.d.)</w:t>
            </w:r>
          </w:p>
        </w:tc>
        <w:tc>
          <w:tcPr/>
          <w:p>
            <w:pPr>
              <w:pStyle w:val="Compact"/>
              <w:jc w:val="center"/>
            </w:pPr>
            <w:r>
              <w:t xml:space="preserve">34.5 ± 1.7</w:t>
            </w:r>
          </w:p>
        </w:tc>
        <w:tc>
          <w:tcPr/>
          <w:p>
            <w:pPr>
              <w:pStyle w:val="Compact"/>
            </w:pPr>
            <w:r>
              <w:t xml:space="preserve">chance-level null, 5 seeds</w:t>
            </w:r>
          </w:p>
        </w:tc>
      </w:tr>
    </w:tbl>
    <w:bookmarkEnd w:id="25"/>
    <w:bookmarkStart w:id="26" w:name="encoding"/>
    <w:p>
      <w:pPr>
        <w:pStyle w:val="Heading3"/>
      </w:pPr>
      <w:r>
        <w:t xml:space="preserve">3.3 Encoding</w:t>
      </w:r>
    </w:p>
    <w:p>
      <w:pPr>
        <w:pStyle w:val="FirstParagraph"/>
      </w:pPr>
      <w:r>
        <w:t xml:space="preserve">On the FFN (the architecture used for all encoding comparisons), BLOSUM62 generalized stably under cross-validation (92.2 ± 0.4%; per-fold 92.2/92.4/92.1/92.7/91.6%). ESM-2 t6 per-position embeddings scored 93.3% on a single split but collapsed to 82.2 ± 1.0% under CV — the 2,880-dimensional features overfit the 4,671-sample training set (Table 3, Figure 7). Mean-pooled t6 embeddings collapsed to 65.9%, confirming that positional information is essential. The t12 variant (4,320-dim) overfit similarly (90.9–91.5%). The single-split 93.3% result reflects a favourable partition rather than a genuine encoding advantage at this training scale. ESM-2’s representational advantage materialises only at large scale: the 650M checkpoint (11,520-dim per-peptide) reached 92.4 ± 0.5% under CV, matching BLOSUM62 (92.2 ± 0.4%) but at 64× the input dimensionality. At the data scale typical of single-allele studies, compact biologically motivated encodings such as BLOSUM62 therefore remain the more cost-effective choice, while the small ESM-2 checkpoints overfit.</w:t>
      </w:r>
    </w:p>
    <w:p>
      <w:pPr>
        <w:pStyle w:val="BodyText"/>
      </w:pPr>
      <w:r>
        <w:rPr>
          <w:b/>
          <w:bCs/>
        </w:rPr>
        <w:t xml:space="preserve">Table 3.</w:t>
      </w:r>
      <w:r>
        <w:t xml:space="preserve"> </w:t>
      </w:r>
      <w:r>
        <w:t xml:space="preserve">Classification accuracy by encoding strategy.</w:t>
      </w:r>
    </w:p>
    <w:tbl>
      <w:tblPr>
        <w:tblStyle w:val="Table"/>
        <w:tblW w:type="pct" w:w="5000"/>
        <w:tblLayout w:type="fixed"/>
        <w:tblLook w:firstRow="1" w:lastRow="0" w:firstColumn="0" w:lastColumn="0" w:noHBand="0" w:noVBand="0" w:val="0020"/>
      </w:tblPr>
      <w:tblGrid>
        <w:gridCol w:w="2262"/>
        <w:gridCol w:w="1131"/>
        <w:gridCol w:w="2941"/>
        <w:gridCol w:w="1584"/>
      </w:tblGrid>
      <w:tr>
        <w:trPr>
          <w:tblHeader w:val="on"/>
        </w:trPr>
        <w:tc>
          <w:tcPr/>
          <w:p>
            <w:pPr>
              <w:pStyle w:val="Compact"/>
            </w:pPr>
            <w:r>
              <w:t xml:space="preserve">Encoding</w:t>
            </w:r>
          </w:p>
        </w:tc>
        <w:tc>
          <w:tcPr/>
          <w:p>
            <w:pPr>
              <w:pStyle w:val="Compact"/>
              <w:jc w:val="center"/>
            </w:pPr>
            <w:r>
              <w:t xml:space="preserve">Dim</w:t>
            </w:r>
          </w:p>
        </w:tc>
        <w:tc>
          <w:tcPr/>
          <w:p>
            <w:pPr>
              <w:pStyle w:val="Compact"/>
              <w:jc w:val="center"/>
            </w:pPr>
            <w:r>
              <w:t xml:space="preserve">Accuracy (%)</w:t>
            </w:r>
          </w:p>
        </w:tc>
        <w:tc>
          <w:tcPr/>
          <w:p>
            <w:pPr>
              <w:pStyle w:val="Compact"/>
            </w:pPr>
            <w:r>
              <w:t xml:space="preserve">Notes</w:t>
            </w:r>
          </w:p>
        </w:tc>
      </w:tr>
      <w:tr>
        <w:tc>
          <w:tcPr/>
          <w:p>
            <w:pPr>
              <w:pStyle w:val="Compact"/>
            </w:pPr>
            <w:r>
              <w:t xml:space="preserve">BLOSUM62</w:t>
            </w:r>
          </w:p>
        </w:tc>
        <w:tc>
          <w:tcPr/>
          <w:p>
            <w:pPr>
              <w:pStyle w:val="Compact"/>
              <w:jc w:val="center"/>
            </w:pPr>
            <w:r>
              <w:t xml:space="preserve">180</w:t>
            </w:r>
          </w:p>
        </w:tc>
        <w:tc>
          <w:tcPr/>
          <w:p>
            <w:pPr>
              <w:pStyle w:val="Compact"/>
              <w:jc w:val="center"/>
            </w:pPr>
            <w:r>
              <w:t xml:space="preserve">92.2 ± 0.4 (CV)</w:t>
            </w:r>
          </w:p>
        </w:tc>
        <w:tc>
          <w:tcPr/>
          <w:p>
            <w:pPr>
              <w:pStyle w:val="Compact"/>
            </w:pPr>
            <w:r>
              <w:t xml:space="preserve">Stable CV generalisation</w:t>
            </w:r>
          </w:p>
        </w:tc>
      </w:tr>
      <w:tr>
        <w:tc>
          <w:tcPr/>
          <w:p>
            <w:pPr>
              <w:pStyle w:val="Compact"/>
            </w:pPr>
            <w:r>
              <w:t xml:space="preserve">ESM-2 t6 mean pool</w:t>
            </w:r>
          </w:p>
        </w:tc>
        <w:tc>
          <w:tcPr/>
          <w:p>
            <w:pPr>
              <w:pStyle w:val="Compact"/>
              <w:jc w:val="center"/>
            </w:pPr>
            <w:r>
              <w:t xml:space="preserve">320</w:t>
            </w:r>
          </w:p>
        </w:tc>
        <w:tc>
          <w:tcPr/>
          <w:p>
            <w:pPr>
              <w:pStyle w:val="Compact"/>
              <w:jc w:val="center"/>
            </w:pPr>
            <w:r>
              <w:t xml:space="preserve">65.9</w:t>
            </w:r>
          </w:p>
        </w:tc>
        <w:tc>
          <w:tcPr/>
          <w:p>
            <w:pPr>
              <w:pStyle w:val="Compact"/>
            </w:pPr>
            <w:r>
              <w:t xml:space="preserve">Positional info destroyed</w:t>
            </w:r>
          </w:p>
        </w:tc>
      </w:tr>
      <w:tr>
        <w:tc>
          <w:tcPr/>
          <w:p>
            <w:pPr>
              <w:pStyle w:val="Compact"/>
            </w:pPr>
            <w:r>
              <w:t xml:space="preserve">ESM-2 t12 per-pos</w:t>
            </w:r>
          </w:p>
        </w:tc>
        <w:tc>
          <w:tcPr/>
          <w:p>
            <w:pPr>
              <w:pStyle w:val="Compact"/>
              <w:jc w:val="center"/>
            </w:pPr>
            <w:r>
              <w:t xml:space="preserve">4,320</w:t>
            </w:r>
          </w:p>
        </w:tc>
        <w:tc>
          <w:tcPr/>
          <w:p>
            <w:pPr>
              <w:pStyle w:val="Compact"/>
              <w:jc w:val="center"/>
            </w:pPr>
            <w:r>
              <w:t xml:space="preserve">90.9</w:t>
            </w:r>
          </w:p>
        </w:tc>
        <w:tc>
          <w:tcPr/>
          <w:p>
            <w:pPr>
              <w:pStyle w:val="Compact"/>
            </w:pPr>
            <w:r>
              <w:t xml:space="preserve">Overfitting</w:t>
            </w:r>
          </w:p>
        </w:tc>
      </w:tr>
      <w:tr>
        <w:tc>
          <w:tcPr/>
          <w:p>
            <w:pPr>
              <w:pStyle w:val="Compact"/>
            </w:pPr>
            <w:r>
              <w:t xml:space="preserve">ESM-2 t12 + L2</w:t>
            </w:r>
          </w:p>
        </w:tc>
        <w:tc>
          <w:tcPr/>
          <w:p>
            <w:pPr>
              <w:pStyle w:val="Compact"/>
              <w:jc w:val="center"/>
            </w:pPr>
            <w:r>
              <w:t xml:space="preserve">4,320</w:t>
            </w:r>
          </w:p>
        </w:tc>
        <w:tc>
          <w:tcPr/>
          <w:p>
            <w:pPr>
              <w:pStyle w:val="Compact"/>
              <w:jc w:val="center"/>
            </w:pPr>
            <w:r>
              <w:t xml:space="preserve">91.5</w:t>
            </w:r>
          </w:p>
        </w:tc>
        <w:tc>
          <w:tcPr/>
          <w:p>
            <w:pPr>
              <w:pStyle w:val="Compact"/>
            </w:pPr>
            <w:r>
              <w:t xml:space="preserve">Partially mitigated</w:t>
            </w:r>
          </w:p>
        </w:tc>
      </w:tr>
      <w:tr>
        <w:tc>
          <w:tcPr/>
          <w:p>
            <w:pPr>
              <w:pStyle w:val="Compact"/>
            </w:pPr>
            <w:r>
              <w:t xml:space="preserve">ESM-2 t6 per-pos</w:t>
            </w:r>
          </w:p>
        </w:tc>
        <w:tc>
          <w:tcPr/>
          <w:p>
            <w:pPr>
              <w:pStyle w:val="Compact"/>
              <w:jc w:val="center"/>
            </w:pPr>
            <w:r>
              <w:t xml:space="preserve">2,880</w:t>
            </w:r>
          </w:p>
        </w:tc>
        <w:tc>
          <w:tcPr/>
          <w:p>
            <w:pPr>
              <w:pStyle w:val="Compact"/>
              <w:jc w:val="center"/>
            </w:pPr>
            <w:r>
              <w:t xml:space="preserve">93.3 (82.2 ± 1.0 CV)</w:t>
            </w:r>
          </w:p>
        </w:tc>
        <w:tc>
          <w:tcPr/>
          <w:p>
            <w:pPr>
              <w:pStyle w:val="Compact"/>
            </w:pPr>
            <w:r>
              <w:t xml:space="preserve">Single-split optimistic</w:t>
            </w:r>
          </w:p>
        </w:tc>
      </w:tr>
      <w:tr>
        <w:tc>
          <w:tcPr/>
          <w:p>
            <w:pPr>
              <w:pStyle w:val="Compact"/>
            </w:pPr>
            <w:r>
              <w:t xml:space="preserve">ESM-2 t33 (650M) per-pos</w:t>
            </w:r>
          </w:p>
        </w:tc>
        <w:tc>
          <w:tcPr/>
          <w:p>
            <w:pPr>
              <w:pStyle w:val="Compact"/>
              <w:jc w:val="center"/>
            </w:pPr>
            <w:r>
              <w:t xml:space="preserve">11,520</w:t>
            </w:r>
          </w:p>
        </w:tc>
        <w:tc>
          <w:tcPr/>
          <w:p>
            <w:pPr>
              <w:pStyle w:val="Compact"/>
              <w:jc w:val="center"/>
            </w:pPr>
            <w:r>
              <w:t xml:space="preserve">92.4 ± 0.5 (CV)</w:t>
            </w:r>
          </w:p>
        </w:tc>
        <w:tc>
          <w:tcPr/>
          <w:p>
            <w:pPr>
              <w:pStyle w:val="Compact"/>
            </w:pPr>
            <w:r>
              <w:t xml:space="preserve">Matches BLOSUM62 at 64× dim</w:t>
            </w:r>
          </w:p>
        </w:tc>
      </w:tr>
    </w:tbl>
    <w:bookmarkEnd w:id="26"/>
    <w:bookmarkStart w:id="27" w:name="held-out-validation-and-translation"/>
    <w:p>
      <w:pPr>
        <w:pStyle w:val="Heading3"/>
      </w:pPr>
      <w:r>
        <w:t xml:space="preserve">3.4 Held-out validation and translation</w:t>
      </w:r>
    </w:p>
    <w:p>
      <w:pPr>
        <w:pStyle w:val="FirstParagraph"/>
      </w:pPr>
      <w:r>
        <w:t xml:space="preserve">The Deep FFN achieved 97.6% sensitivity (41/42; Wilson 95% CI 87.7–99.6%), 75.0% specificity (15/20), ROC AUC 0.970 against IEDB epitopes (Table 5, Figure 3). Of the original 49 A*02:01-restricted epitopes, one (</w:t>
      </w:r>
      <w:r>
        <w:rPr>
          <w:rStyle w:val="VerbatimChar"/>
        </w:rPr>
        <w:t xml:space="preserve">ILRGSVAHK</w:t>
      </w:r>
      <w:r>
        <w:t xml:space="preserve">) was removed on re-curation for allele mis-attribution (HLA-A*03:01, previously mis-attributed to B*08:01), leaving 48. IEDB re-verification (query-api.iedb.org, accessed 2026-10-23) then excluded six further peptides lacking A*02:01 restriction —</w:t>
      </w:r>
      <w:r>
        <w:t xml:space="preserve"> </w:t>
      </w:r>
      <w:r>
        <w:rPr>
          <w:rStyle w:val="VerbatimChar"/>
        </w:rPr>
        <w:t xml:space="preserve">LLFDRFENL</w:t>
      </w:r>
      <w:r>
        <w:t xml:space="preserve"> </w:t>
      </w:r>
      <w:r>
        <w:t xml:space="preserve">and</w:t>
      </w:r>
      <w:r>
        <w:t xml:space="preserve"> </w:t>
      </w:r>
      <w:r>
        <w:rPr>
          <w:rStyle w:val="VerbatimChar"/>
        </w:rPr>
        <w:t xml:space="preserve">LLHHAFDSL</w:t>
      </w:r>
      <w:r>
        <w:t xml:space="preserve"> </w:t>
      </w:r>
      <w:r>
        <w:t xml:space="preserve">(no IEDB records),</w:t>
      </w:r>
      <w:r>
        <w:t xml:space="preserve"> </w:t>
      </w:r>
      <w:r>
        <w:rPr>
          <w:rStyle w:val="VerbatimChar"/>
        </w:rPr>
        <w:t xml:space="preserve">YVKQNTLKL</w:t>
      </w:r>
      <w:r>
        <w:t xml:space="preserve"> </w:t>
      </w:r>
      <w:r>
        <w:t xml:space="preserve">(HLA-B*07:02),</w:t>
      </w:r>
      <w:r>
        <w:t xml:space="preserve"> </w:t>
      </w:r>
      <w:r>
        <w:rPr>
          <w:rStyle w:val="VerbatimChar"/>
        </w:rPr>
        <w:t xml:space="preserve">QYDPVAALF</w:t>
      </w:r>
      <w:r>
        <w:t xml:space="preserve"> </w:t>
      </w:r>
      <w:r>
        <w:t xml:space="preserve">and</w:t>
      </w:r>
      <w:r>
        <w:t xml:space="preserve"> </w:t>
      </w:r>
      <w:r>
        <w:rPr>
          <w:rStyle w:val="VerbatimChar"/>
        </w:rPr>
        <w:t xml:space="preserve">CMTWNQMNL</w:t>
      </w:r>
      <w:r>
        <w:t xml:space="preserve"> </w:t>
      </w:r>
      <w:r>
        <w:t xml:space="preserve">(HLA-A*24:02), and</w:t>
      </w:r>
      <w:r>
        <w:t xml:space="preserve"> </w:t>
      </w:r>
      <w:r>
        <w:rPr>
          <w:rStyle w:val="VerbatimChar"/>
        </w:rPr>
        <w:t xml:space="preserve">VIYQYMDDL</w:t>
      </w:r>
      <w:r>
        <w:t xml:space="preserve"> </w:t>
      </w:r>
      <w:r>
        <w:t xml:space="preserve">(no positive A*02:01 record) — giving the final 42-epitope benchmark. The single remaining false negative,</w:t>
      </w:r>
      <w:r>
        <w:t xml:space="preserve"> </w:t>
      </w:r>
      <w:r>
        <w:rPr>
          <w:rStyle w:val="VerbatimChar"/>
        </w:rPr>
        <w:t xml:space="preserve">TLGIVCPIC</w:t>
      </w:r>
      <w:r>
        <w:t xml:space="preserve"> </w:t>
      </w:r>
      <w:r>
        <w:t xml:space="preserve">(HPV16 E7), carries a non-canonical p9 anchor (C). An independent predictor, NetMHCpan-4.1b (DTU standalone, run locally), achieved 85.7% sensitivity (36/42; Wilson 95% CI 72.1–93.3%) on the corrected 42-epitope set, below the Deep FFN (41/42 = 97.6%) with overlapping confidence intervals. NetMHCpan’s pan-specific training on MS-elution-based labels makes this an indicative rather than clean comparison; the more direct circularity evidence is the 62.24% label agreement (323/519 test peptides) reported in the Discussion. To contextualise the benchmark, we include a zero-parameter anchor-checker baseline (a rule classifying any 9-mer with canonical p2/p9 residues as a binder): it achieves sensitivity 0.786 (33/42) and specificity 0.900 (18/20), below the trained model (0.976), because nine genuine binders carry non-canonical p2/p9 anchors. The trained model recovers eight of these nine — the single residual miss,</w:t>
      </w:r>
      <w:r>
        <w:t xml:space="preserve"> </w:t>
      </w:r>
      <w:r>
        <w:rPr>
          <w:rStyle w:val="VerbatimChar"/>
        </w:rPr>
        <w:t xml:space="preserve">TLGIVCPIC</w:t>
      </w:r>
      <w:r>
        <w:t xml:space="preserve"> </w:t>
      </w:r>
      <w:r>
        <w:t xml:space="preserve">(p9 = C), defines the hard non-canonical tail — confirming that the informative signal lies beyond the anchor motif. The five false positives were homopolymers (≤2 unique amino acids) with canonical anchors — biologically implausible binders whose low sequence complexity the classifier fails to penalise. A domain-knowledge filter (≤2 unique amino acids → non-binder) removed all five, but we report 75.0% as the primary, unfiltered specificity to avoid post-hoc inflation. As a secondary negative set, 20 experimentally measured A*02:01 negatives (IEDB qualitative_measure = Negative) yielded 90.0% specificity (18/20), confirming that the homopolymer set is a conservative lower bound on realistic specificity. To characterise the labels independently of the labeler’s own decision boundary, we additionally scored the Deep FFN against a large label-independent set of experimentally measured affinities (IEDB binding-affinity corpus, accessed 2026-08-02) — 3,438 unique 9-mers with measured IC50 &lt;500 nM and 3,086 with IC50 &gt;5,000 nM (the 500–5,000 nM grey zone was excluded to yield unambiguous binders and non-binders), restricted to direct binding assays (competitive fluorescence/radioactivity) and excluding MS-elution-derived, predictor-dependent entries. The MHCflurry-trained Deep FFN recognised 94.4% of the experimental binders and rejected 74.5% of the non-binders (threshold 0.5; ROC AUC 0.942); the rebalanced per-allele model reached 89.8% sensitivity and 89.1% specificity (AUC 0.945). This benchmark validates the quality of the training labels — that MHCflurry’s computational labels agree with experimentally measured binding — rather than generalisation to unseen peptides, since the peptides are drawn from the same IEDB binding-affinity corpus on which the labeler was trained; generalisation to unseen peptides is instead established by the temporal holdout (§3.11). Protein scanning of 10 proteins (3,536 9-mer windows) recovered all ten in-scope known epitopes (100%; Figure 4), including immunodominant</w:t>
      </w:r>
      <w:r>
        <w:t xml:space="preserve"> </w:t>
      </w:r>
      <w:r>
        <w:rPr>
          <w:rStyle w:val="VerbatimChar"/>
        </w:rPr>
        <w:t xml:space="preserve">GILGFVFTL</w:t>
      </w:r>
      <w:r>
        <w:t xml:space="preserve"> </w:t>
      </w:r>
      <w:r>
        <w:t xml:space="preserve">(M1),</w:t>
      </w:r>
      <w:r>
        <w:t xml:space="preserve"> </w:t>
      </w:r>
      <w:r>
        <w:rPr>
          <w:rStyle w:val="VerbatimChar"/>
        </w:rPr>
        <w:t xml:space="preserve">NLVPMVATV</w:t>
      </w:r>
      <w:r>
        <w:t xml:space="preserve"> </w:t>
      </w:r>
      <w:r>
        <w:t xml:space="preserve">(pp65), and</w:t>
      </w:r>
      <w:r>
        <w:t xml:space="preserve"> </w:t>
      </w:r>
      <w:r>
        <w:rPr>
          <w:rStyle w:val="VerbatimChar"/>
        </w:rPr>
        <w:t xml:space="preserve">SLLMWITQC</w:t>
      </w:r>
      <w:r>
        <w:t xml:space="preserve"> </w:t>
      </w:r>
      <w:r>
        <w:t xml:space="preserve">(NY-ESO-1); the MART-1 clinical variant</w:t>
      </w:r>
      <w:r>
        <w:t xml:space="preserve"> </w:t>
      </w:r>
      <w:r>
        <w:rPr>
          <w:rStyle w:val="VerbatimChar"/>
        </w:rPr>
        <w:t xml:space="preserve">ELAGIGILTV</w:t>
      </w:r>
      <w:r>
        <w:t xml:space="preserve"> </w:t>
      </w:r>
      <w:r>
        <w:t xml:space="preserve">is a 10-mer A27L anchor-modified peptide absent from the wild-type MART-1 sequence, and therefore lies outside the 9-mer scanning space. Mutation scanning of 16 hotspot mutations identified 7 epitope-altering events (Table 4, Figure 5). p53 R248W created the neoepitope</w:t>
      </w:r>
      <w:r>
        <w:t xml:space="preserve"> </w:t>
      </w:r>
      <w:r>
        <w:rPr>
          <w:rStyle w:val="VerbatimChar"/>
        </w:rPr>
        <w:t xml:space="preserve">MNWRPILTI</w:t>
      </w:r>
      <w:r>
        <w:t xml:space="preserve"> </w:t>
      </w:r>
      <w:r>
        <w:t xml:space="preserve">(the R→W substitution at P3 alters a solvent-exposed, TCR-facing position, so its immunogenicity arises from creating a non-self sequence rather than improved MHC binding); KRAS G12V created</w:t>
      </w:r>
      <w:r>
        <w:t xml:space="preserve"> </w:t>
      </w:r>
      <w:r>
        <w:rPr>
          <w:rStyle w:val="VerbatimChar"/>
        </w:rPr>
        <w:t xml:space="preserve">YKLVVVGAV</w:t>
      </w:r>
      <w:r>
        <w:t xml:space="preserve"> </w:t>
      </w:r>
      <w:r>
        <w:t xml:space="preserve">via G→V at p9 creating a canonical C-terminal anchor. p53 R248W is among the most frequent TP53 missense mutations across cancers (~3.5% of somatic TP53 mutations, IARC), and mutation-specific T-cell responses have been documented in patients and in HLA-A2/DRB1-transgenic mice [15,16]; KRAS G12C enhanced an existing epitope (WB→SB), suggesting synergy with pharmacological G12C inhibition. Three mutations (KRAS G13D, KRAS A146T, p53 R249S) destroyed existing epitopes, representing potential immune-evasion mechanisms.</w:t>
      </w:r>
    </w:p>
    <w:p>
      <w:pPr>
        <w:pStyle w:val="BodyText"/>
      </w:pPr>
      <w:r>
        <w:rPr>
          <w:b/>
          <w:bCs/>
        </w:rPr>
        <w:t xml:space="preserve">Table 4.</w:t>
      </w:r>
      <w:r>
        <w:t xml:space="preserve"> </w:t>
      </w:r>
      <w:r>
        <w:t xml:space="preserve">Epitope-altering cancer hotspot mutations.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Mutation</w:t>
            </w:r>
          </w:p>
        </w:tc>
        <w:tc>
          <w:tcPr/>
          <w:p>
            <w:pPr>
              <w:pStyle w:val="Compact"/>
            </w:pPr>
            <w:r>
              <w:t xml:space="preserve">WT peptide</w:t>
            </w:r>
          </w:p>
        </w:tc>
        <w:tc>
          <w:tcPr/>
          <w:p>
            <w:pPr>
              <w:pStyle w:val="Compact"/>
            </w:pPr>
            <w:r>
              <w:t xml:space="preserve">Mutant peptide</w:t>
            </w:r>
          </w:p>
        </w:tc>
        <w:tc>
          <w:tcPr/>
          <w:p>
            <w:pPr>
              <w:pStyle w:val="Compact"/>
            </w:pPr>
            <w:r>
              <w:t xml:space="preserve">Effect</w:t>
            </w:r>
          </w:p>
        </w:tc>
        <w:tc>
          <w:tcPr/>
          <w:p>
            <w:pPr>
              <w:pStyle w:val="Compact"/>
              <w:jc w:val="center"/>
            </w:pPr>
            <w:r>
              <w:t xml:space="preserve">Δ score</w:t>
            </w:r>
          </w:p>
        </w:tc>
      </w:tr>
      <w:tr>
        <w:tc>
          <w:tcPr/>
          <w:p>
            <w:pPr>
              <w:pStyle w:val="Compact"/>
            </w:pPr>
            <w:r>
              <w:t xml:space="preserve">p53 R248W</w:t>
            </w:r>
          </w:p>
        </w:tc>
        <w:tc>
          <w:tcPr/>
          <w:p>
            <w:pPr>
              <w:pStyle w:val="Compact"/>
            </w:pPr>
            <w:r>
              <w:t xml:space="preserve">MNRRPILTI</w:t>
            </w:r>
          </w:p>
        </w:tc>
        <w:tc>
          <w:tcPr/>
          <w:p>
            <w:pPr>
              <w:pStyle w:val="Compact"/>
            </w:pPr>
            <w:r>
              <w:t xml:space="preserve">MNWRPILTI</w:t>
            </w:r>
          </w:p>
        </w:tc>
        <w:tc>
          <w:tcPr/>
          <w:p>
            <w:pPr>
              <w:pStyle w:val="Compact"/>
            </w:pPr>
            <w:r>
              <w:t xml:space="preserve">CREATED</w:t>
            </w:r>
          </w:p>
        </w:tc>
        <w:tc>
          <w:tcPr/>
          <w:p>
            <w:pPr>
              <w:pStyle w:val="Compact"/>
              <w:jc w:val="center"/>
            </w:pPr>
            <w:r>
              <w:t xml:space="preserve">+0.41</w:t>
            </w:r>
          </w:p>
        </w:tc>
      </w:tr>
      <w:tr>
        <w:tc>
          <w:tcPr/>
          <w:p>
            <w:pPr>
              <w:pStyle w:val="Compact"/>
            </w:pPr>
            <w:r>
              <w:t xml:space="preserve">KRAS G12V</w:t>
            </w:r>
          </w:p>
        </w:tc>
        <w:tc>
          <w:tcPr/>
          <w:p>
            <w:pPr>
              <w:pStyle w:val="Compact"/>
            </w:pPr>
            <w:r>
              <w:t xml:space="preserve">YKLVVVGAG</w:t>
            </w:r>
          </w:p>
        </w:tc>
        <w:tc>
          <w:tcPr/>
          <w:p>
            <w:pPr>
              <w:pStyle w:val="Compact"/>
            </w:pPr>
            <w:r>
              <w:t xml:space="preserve">YKLVVVGAV</w:t>
            </w:r>
          </w:p>
        </w:tc>
        <w:tc>
          <w:tcPr/>
          <w:p>
            <w:pPr>
              <w:pStyle w:val="Compact"/>
            </w:pPr>
            <w:r>
              <w:t xml:space="preserve">CREATED</w:t>
            </w:r>
          </w:p>
        </w:tc>
        <w:tc>
          <w:tcPr/>
          <w:p>
            <w:pPr>
              <w:pStyle w:val="Compact"/>
              <w:jc w:val="center"/>
            </w:pPr>
            <w:r>
              <w:t xml:space="preserve">+0.48</w:t>
            </w:r>
          </w:p>
        </w:tc>
      </w:tr>
      <w:tr>
        <w:tc>
          <w:tcPr/>
          <w:p>
            <w:pPr>
              <w:pStyle w:val="Compact"/>
            </w:pPr>
            <w:r>
              <w:t xml:space="preserve">KRAS G12V</w:t>
            </w:r>
          </w:p>
        </w:tc>
        <w:tc>
          <w:tcPr/>
          <w:p>
            <w:pPr>
              <w:pStyle w:val="Compact"/>
            </w:pPr>
            <w:r>
              <w:t xml:space="preserve">LVVVGAGGV</w:t>
            </w:r>
          </w:p>
        </w:tc>
        <w:tc>
          <w:tcPr/>
          <w:p>
            <w:pPr>
              <w:pStyle w:val="Compact"/>
            </w:pPr>
            <w:r>
              <w:t xml:space="preserve">LVVVGAVGV</w:t>
            </w:r>
          </w:p>
        </w:tc>
        <w:tc>
          <w:tcPr/>
          <w:p>
            <w:pPr>
              <w:pStyle w:val="Compact"/>
            </w:pPr>
            <w:r>
              <w:t xml:space="preserve">ENHANCED</w:t>
            </w:r>
          </w:p>
        </w:tc>
        <w:tc>
          <w:tcPr/>
          <w:p>
            <w:pPr>
              <w:pStyle w:val="Compact"/>
              <w:jc w:val="center"/>
            </w:pPr>
            <w:r>
              <w:t xml:space="preserve">+0.31</w:t>
            </w:r>
          </w:p>
        </w:tc>
      </w:tr>
      <w:tr>
        <w:tc>
          <w:tcPr/>
          <w:p>
            <w:pPr>
              <w:pStyle w:val="Compact"/>
            </w:pPr>
            <w:r>
              <w:t xml:space="preserve">KRAS G12C</w:t>
            </w:r>
          </w:p>
        </w:tc>
        <w:tc>
          <w:tcPr/>
          <w:p>
            <w:pPr>
              <w:pStyle w:val="Compact"/>
            </w:pPr>
            <w:r>
              <w:t xml:space="preserve">LVVVGAGGV</w:t>
            </w:r>
          </w:p>
        </w:tc>
        <w:tc>
          <w:tcPr/>
          <w:p>
            <w:pPr>
              <w:pStyle w:val="Compact"/>
            </w:pPr>
            <w:r>
              <w:t xml:space="preserve">LVVVGACGV</w:t>
            </w:r>
          </w:p>
        </w:tc>
        <w:tc>
          <w:tcPr/>
          <w:p>
            <w:pPr>
              <w:pStyle w:val="Compact"/>
            </w:pPr>
            <w:r>
              <w:t xml:space="preserve">ENHANCED</w:t>
            </w:r>
          </w:p>
        </w:tc>
        <w:tc>
          <w:tcPr/>
          <w:p>
            <w:pPr>
              <w:pStyle w:val="Compact"/>
              <w:jc w:val="center"/>
            </w:pPr>
            <w:r>
              <w:t xml:space="preserve">+0.31</w:t>
            </w:r>
          </w:p>
        </w:tc>
      </w:tr>
      <w:tr>
        <w:tc>
          <w:tcPr/>
          <w:p>
            <w:pPr>
              <w:pStyle w:val="Compact"/>
            </w:pPr>
            <w:r>
              <w:t xml:space="preserve">KRAS G13D</w:t>
            </w:r>
          </w:p>
        </w:tc>
        <w:tc>
          <w:tcPr/>
          <w:p>
            <w:pPr>
              <w:pStyle w:val="Compact"/>
            </w:pPr>
            <w:r>
              <w:t xml:space="preserve">GVGKSALTI</w:t>
            </w:r>
          </w:p>
        </w:tc>
        <w:tc>
          <w:tcPr/>
          <w:p>
            <w:pPr>
              <w:pStyle w:val="Compact"/>
            </w:pPr>
            <w:r>
              <w:t xml:space="preserve">DVDKSALTI</w:t>
            </w:r>
          </w:p>
        </w:tc>
        <w:tc>
          <w:tcPr/>
          <w:p>
            <w:pPr>
              <w:pStyle w:val="Compact"/>
            </w:pPr>
            <w:r>
              <w:t xml:space="preserve">DESTROYED</w:t>
            </w:r>
          </w:p>
        </w:tc>
        <w:tc>
          <w:tcPr/>
          <w:p>
            <w:pPr>
              <w:pStyle w:val="Compact"/>
              <w:jc w:val="center"/>
            </w:pPr>
            <w:r>
              <w:t xml:space="preserve">−0.47</w:t>
            </w:r>
          </w:p>
        </w:tc>
      </w:tr>
      <w:tr>
        <w:tc>
          <w:tcPr/>
          <w:p>
            <w:pPr>
              <w:pStyle w:val="Compact"/>
            </w:pPr>
            <w:r>
              <w:t xml:space="preserve">KRAS A146T</w:t>
            </w:r>
          </w:p>
        </w:tc>
        <w:tc>
          <w:tcPr/>
          <w:p>
            <w:pPr>
              <w:pStyle w:val="Compact"/>
            </w:pPr>
            <w:r>
              <w:t xml:space="preserve">GIPFIETSA</w:t>
            </w:r>
          </w:p>
        </w:tc>
        <w:tc>
          <w:tcPr/>
          <w:p>
            <w:pPr>
              <w:pStyle w:val="Compact"/>
            </w:pPr>
            <w:r>
              <w:t xml:space="preserve">GIPFIETST</w:t>
            </w:r>
          </w:p>
        </w:tc>
        <w:tc>
          <w:tcPr/>
          <w:p>
            <w:pPr>
              <w:pStyle w:val="Compact"/>
            </w:pPr>
            <w:r>
              <w:t xml:space="preserve">DESTROYED</w:t>
            </w:r>
          </w:p>
        </w:tc>
        <w:tc>
          <w:tcPr/>
          <w:p>
            <w:pPr>
              <w:pStyle w:val="Compact"/>
              <w:jc w:val="center"/>
            </w:pPr>
            <w:r>
              <w:t xml:space="preserve">−0.42</w:t>
            </w:r>
          </w:p>
        </w:tc>
      </w:tr>
      <w:tr>
        <w:tc>
          <w:tcPr/>
          <w:p>
            <w:pPr>
              <w:pStyle w:val="Compact"/>
            </w:pPr>
            <w:r>
              <w:t xml:space="preserve">p53 R249S</w:t>
            </w:r>
          </w:p>
        </w:tc>
        <w:tc>
          <w:tcPr/>
          <w:p>
            <w:pPr>
              <w:pStyle w:val="Compact"/>
            </w:pPr>
            <w:r>
              <w:t xml:space="preserve">GMNRRPILT</w:t>
            </w:r>
          </w:p>
        </w:tc>
        <w:tc>
          <w:tcPr/>
          <w:p>
            <w:pPr>
              <w:pStyle w:val="Compact"/>
            </w:pPr>
            <w:r>
              <w:t xml:space="preserve">GMNRSPILT</w:t>
            </w:r>
          </w:p>
        </w:tc>
        <w:tc>
          <w:tcPr/>
          <w:p>
            <w:pPr>
              <w:pStyle w:val="Compact"/>
            </w:pPr>
            <w:r>
              <w:t xml:space="preserve">DESTROYED</w:t>
            </w:r>
          </w:p>
        </w:tc>
        <w:tc>
          <w:tcPr/>
          <w:p>
            <w:pPr>
              <w:pStyle w:val="Compact"/>
              <w:jc w:val="center"/>
            </w:pPr>
            <w:r>
              <w:t xml:space="preserve">−0.16</w:t>
            </w:r>
          </w:p>
        </w:tc>
      </w:tr>
    </w:tbl>
    <w:p>
      <w:pPr>
        <w:pStyle w:val="BodyText"/>
      </w:pPr>
      <w:r>
        <w:rPr>
          <w:b/>
          <w:bCs/>
        </w:rPr>
        <w:t xml:space="preserve">Table 5.</w:t>
      </w:r>
      <w:r>
        <w:t xml:space="preserve"> </w:t>
      </w:r>
      <w:r>
        <w:t xml:space="preserve">IEDB benchmark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center"/>
            </w:pPr>
            <w:r>
              <w:t xml:space="preserve">Value</w:t>
            </w:r>
          </w:p>
        </w:tc>
      </w:tr>
      <w:tr>
        <w:tc>
          <w:tcPr/>
          <w:p>
            <w:pPr>
              <w:pStyle w:val="Compact"/>
            </w:pPr>
            <w:r>
              <w:t xml:space="preserve">Sensitivity</w:t>
            </w:r>
          </w:p>
        </w:tc>
        <w:tc>
          <w:tcPr/>
          <w:p>
            <w:pPr>
              <w:pStyle w:val="Compact"/>
              <w:jc w:val="center"/>
            </w:pPr>
            <w:r>
              <w:t xml:space="preserve">97.6% (41/42)</w:t>
            </w:r>
          </w:p>
        </w:tc>
      </w:tr>
      <w:tr>
        <w:tc>
          <w:tcPr/>
          <w:p>
            <w:pPr>
              <w:pStyle w:val="Compact"/>
            </w:pPr>
            <w:r>
              <w:t xml:space="preserve">NetMHCpan-4.1b sensitivity</w:t>
            </w:r>
          </w:p>
        </w:tc>
        <w:tc>
          <w:tcPr/>
          <w:p>
            <w:pPr>
              <w:pStyle w:val="Compact"/>
              <w:jc w:val="center"/>
            </w:pPr>
            <w:r>
              <w:t xml:space="preserve">85.7% (36/42)</w:t>
            </w:r>
          </w:p>
        </w:tc>
      </w:tr>
      <w:tr>
        <w:tc>
          <w:tcPr/>
          <w:p>
            <w:pPr>
              <w:pStyle w:val="Compact"/>
            </w:pPr>
            <w:r>
              <w:t xml:space="preserve">Specificity</w:t>
            </w:r>
          </w:p>
        </w:tc>
        <w:tc>
          <w:tcPr/>
          <w:p>
            <w:pPr>
              <w:pStyle w:val="Compact"/>
              <w:jc w:val="center"/>
            </w:pPr>
            <w:r>
              <w:t xml:space="preserve">75.0% (15/20)</w:t>
            </w:r>
          </w:p>
        </w:tc>
      </w:tr>
      <w:tr>
        <w:tc>
          <w:tcPr/>
          <w:p>
            <w:pPr>
              <w:pStyle w:val="Compact"/>
            </w:pPr>
            <w:r>
              <w:t xml:space="preserve">Precision</w:t>
            </w:r>
          </w:p>
        </w:tc>
        <w:tc>
          <w:tcPr/>
          <w:p>
            <w:pPr>
              <w:pStyle w:val="Compact"/>
              <w:jc w:val="center"/>
            </w:pPr>
            <w:r>
              <w:t xml:space="preserve">89.1%</w:t>
            </w:r>
          </w:p>
        </w:tc>
      </w:tr>
      <w:tr>
        <w:tc>
          <w:tcPr/>
          <w:p>
            <w:pPr>
              <w:pStyle w:val="Compact"/>
            </w:pPr>
            <w:r>
              <w:t xml:space="preserve">F1</w:t>
            </w:r>
          </w:p>
        </w:tc>
        <w:tc>
          <w:tcPr/>
          <w:p>
            <w:pPr>
              <w:pStyle w:val="Compact"/>
              <w:jc w:val="center"/>
            </w:pPr>
            <w:r>
              <w:t xml:space="preserve">0.932</w:t>
            </w:r>
          </w:p>
        </w:tc>
      </w:tr>
      <w:tr>
        <w:tc>
          <w:tcPr/>
          <w:p>
            <w:pPr>
              <w:pStyle w:val="Compact"/>
            </w:pPr>
            <w:r>
              <w:t xml:space="preserve">ROC AUC</w:t>
            </w:r>
          </w:p>
        </w:tc>
        <w:tc>
          <w:tcPr/>
          <w:p>
            <w:pPr>
              <w:pStyle w:val="Compact"/>
              <w:jc w:val="center"/>
            </w:pPr>
            <w:r>
              <w:t xml:space="preserve">0.970</w:t>
            </w:r>
          </w:p>
        </w:tc>
      </w:tr>
    </w:tbl>
    <w:p>
      <w:pPr>
        <w:pStyle w:val="BodyText"/>
      </w:pPr>
      <w:r>
        <w:t xml:space="preserve">*NetMHCpan-4.1b standalone (DTU academic license, run locally under WSL2).</w:t>
      </w:r>
    </w:p>
    <w:bookmarkEnd w:id="27"/>
    <w:bookmarkStart w:id="28" w:name="Xc086741a7b3a90d9524c358a03bf3e0111acdb3"/>
    <w:p>
      <w:pPr>
        <w:pStyle w:val="Heading3"/>
      </w:pPr>
      <w:r>
        <w:t xml:space="preserve">3.5 A rebalanced pan model matches per-allele specialists on four of five alleles</w:t>
      </w:r>
    </w:p>
    <w:p>
      <w:pPr>
        <w:pStyle w:val="FirstParagraph"/>
      </w:pPr>
      <w:r>
        <w:t xml:space="preserve">With protein-background negatives and a fixed threshold (n=25 non-canonical binders per allele, so these point estimates carry wide confidence intervals), per-allele models reached non-canonical sensitivity A*02:01 0.84, A*01:01 0.88, A*03:01 1.00, B*07:02 0.96, B*44:03 0.96 (Table 6; Figure 8). The rebalanced pan model matched this on four of five alleles (A*02:01 0.84, A*01:01 0.88, A*03:01 1.00, B*44:03 1.00), but B*07:02 was the clear exception: the pan model dropped to 0.60 versus 0.96 per-allele (0.64 in the 15-allele pan16 panel; Wilson 95% CIs [0.41, 0.77] vs [0.81, 0.99], non-overlapping), consistent with over-anchoring to B*07:02’s distinctive P2-Proline — a reproducible limitation rather than a fundamental pan-model deficiency. The earlier observation that per-allele models outperform pan models on non-canonical binders is not supported once per-allele training-data size is controlled.</w:t>
      </w:r>
    </w:p>
    <w:p>
      <w:pPr>
        <w:pStyle w:val="BodyText"/>
      </w:pPr>
      <w:r>
        <w:rPr>
          <w:b/>
          <w:bCs/>
        </w:rPr>
        <w:t xml:space="preserve">Table 6. Non-canonical sensitivity by allele (protein-background negatives, n=25 per allele,</w:t>
      </w:r>
      <w:r>
        <w:rPr>
          <w:b/>
          <w:bCs/>
        </w:rPr>
        <w:t xml:space="preserve"> </w:t>
      </w:r>
      <w:r>
        <w:rPr>
          <w:b/>
          <w:bCs/>
        </w:rPr>
        <w:t xml:space="preserve">@0.95</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Allele</w:t>
            </w:r>
          </w:p>
        </w:tc>
        <w:tc>
          <w:tcPr/>
          <w:p>
            <w:pPr>
              <w:pStyle w:val="Compact"/>
              <w:jc w:val="center"/>
            </w:pPr>
            <w:r>
              <w:t xml:space="preserve">Per-allele</w:t>
            </w:r>
          </w:p>
        </w:tc>
        <w:tc>
          <w:tcPr/>
          <w:p>
            <w:pPr>
              <w:pStyle w:val="Compact"/>
              <w:jc w:val="center"/>
            </w:pPr>
            <w:r>
              <w:t xml:space="preserve">Pan</w:t>
            </w:r>
          </w:p>
        </w:tc>
      </w:tr>
      <w:tr>
        <w:tc>
          <w:tcPr/>
          <w:p>
            <w:pPr>
              <w:pStyle w:val="Compact"/>
            </w:pPr>
            <w:r>
              <w:t xml:space="preserve">A*02:01</w:t>
            </w:r>
          </w:p>
        </w:tc>
        <w:tc>
          <w:tcPr/>
          <w:p>
            <w:pPr>
              <w:pStyle w:val="Compact"/>
              <w:jc w:val="center"/>
            </w:pPr>
            <w:r>
              <w:t xml:space="preserve">0.84</w:t>
            </w:r>
          </w:p>
        </w:tc>
        <w:tc>
          <w:tcPr/>
          <w:p>
            <w:pPr>
              <w:pStyle w:val="Compact"/>
              <w:jc w:val="center"/>
            </w:pPr>
            <w:r>
              <w:t xml:space="preserve">0.84</w:t>
            </w:r>
          </w:p>
        </w:tc>
      </w:tr>
      <w:tr>
        <w:tc>
          <w:tcPr/>
          <w:p>
            <w:pPr>
              <w:pStyle w:val="Compact"/>
            </w:pPr>
            <w:r>
              <w:t xml:space="preserve">A*01:01</w:t>
            </w:r>
          </w:p>
        </w:tc>
        <w:tc>
          <w:tcPr/>
          <w:p>
            <w:pPr>
              <w:pStyle w:val="Compact"/>
              <w:jc w:val="center"/>
            </w:pPr>
            <w:r>
              <w:t xml:space="preserve">0.88</w:t>
            </w:r>
          </w:p>
        </w:tc>
        <w:tc>
          <w:tcPr/>
          <w:p>
            <w:pPr>
              <w:pStyle w:val="Compact"/>
              <w:jc w:val="center"/>
            </w:pPr>
            <w:r>
              <w:t xml:space="preserve">0.88</w:t>
            </w:r>
          </w:p>
        </w:tc>
      </w:tr>
      <w:tr>
        <w:tc>
          <w:tcPr/>
          <w:p>
            <w:pPr>
              <w:pStyle w:val="Compact"/>
            </w:pPr>
            <w:r>
              <w:t xml:space="preserve">A*03:01</w:t>
            </w:r>
          </w:p>
        </w:tc>
        <w:tc>
          <w:tcPr/>
          <w:p>
            <w:pPr>
              <w:pStyle w:val="Compact"/>
              <w:jc w:val="center"/>
            </w:pPr>
            <w:r>
              <w:t xml:space="preserve">1.00</w:t>
            </w:r>
          </w:p>
        </w:tc>
        <w:tc>
          <w:tcPr/>
          <w:p>
            <w:pPr>
              <w:pStyle w:val="Compact"/>
              <w:jc w:val="center"/>
            </w:pPr>
            <w:r>
              <w:t xml:space="preserve">1.00</w:t>
            </w:r>
          </w:p>
        </w:tc>
      </w:tr>
      <w:tr>
        <w:tc>
          <w:tcPr/>
          <w:p>
            <w:pPr>
              <w:pStyle w:val="Compact"/>
            </w:pPr>
            <w:r>
              <w:t xml:space="preserve">B*07:02</w:t>
            </w:r>
          </w:p>
        </w:tc>
        <w:tc>
          <w:tcPr/>
          <w:p>
            <w:pPr>
              <w:pStyle w:val="Compact"/>
              <w:jc w:val="center"/>
            </w:pPr>
            <w:r>
              <w:t xml:space="preserve">0.96</w:t>
            </w:r>
          </w:p>
        </w:tc>
        <w:tc>
          <w:tcPr/>
          <w:p>
            <w:pPr>
              <w:pStyle w:val="Compact"/>
              <w:jc w:val="center"/>
            </w:pPr>
            <w:r>
              <w:rPr>
                <w:b/>
                <w:bCs/>
              </w:rPr>
              <w:t xml:space="preserve">0.60</w:t>
            </w:r>
          </w:p>
        </w:tc>
      </w:tr>
      <w:tr>
        <w:tc>
          <w:tcPr/>
          <w:p>
            <w:pPr>
              <w:pStyle w:val="Compact"/>
            </w:pPr>
            <w:r>
              <w:t xml:space="preserve">B*44:03</w:t>
            </w:r>
          </w:p>
        </w:tc>
        <w:tc>
          <w:tcPr/>
          <w:p>
            <w:pPr>
              <w:pStyle w:val="Compact"/>
              <w:jc w:val="center"/>
            </w:pPr>
            <w:r>
              <w:t xml:space="preserve">0.96</w:t>
            </w:r>
          </w:p>
        </w:tc>
        <w:tc>
          <w:tcPr/>
          <w:p>
            <w:pPr>
              <w:pStyle w:val="Compact"/>
              <w:jc w:val="center"/>
            </w:pPr>
            <w:r>
              <w:t xml:space="preserve">1.00</w:t>
            </w:r>
          </w:p>
        </w:tc>
      </w:tr>
    </w:tbl>
    <w:bookmarkEnd w:id="28"/>
    <w:bookmarkStart w:id="29" w:name="Xfcbe84235508e84109109da1baa937288b62fbe"/>
    <w:p>
      <w:pPr>
        <w:pStyle w:val="Heading3"/>
      </w:pPr>
      <w:r>
        <w:t xml:space="preserve">3.6 Canonical binders are recognized at ~0.98 by every predictor</w:t>
      </w:r>
    </w:p>
    <w:p>
      <w:pPr>
        <w:pStyle w:val="FirstParagraph"/>
      </w:pPr>
      <w:r>
        <w:t xml:space="preserve">On n = 11,225 canonical positives, all four predictors were saturated: DFFN 0.979, MHCflurry 0.986, MUNIS 0.950, BigMHC 0.950 (Table 7). The canonical binder problem is effectively solved by all current methods.</w:t>
      </w:r>
    </w:p>
    <w:bookmarkEnd w:id="29"/>
    <w:bookmarkStart w:id="30" w:name="Xf3494d3696f1afc86436a896058c34fafb82b32"/>
    <w:p>
      <w:pPr>
        <w:pStyle w:val="Heading3"/>
      </w:pPr>
      <w:r>
        <w:t xml:space="preserve">3.7 Non-canonical (Type B) binders plateau at ~0.65 across predictor classes</w:t>
      </w:r>
    </w:p>
    <w:p>
      <w:pPr>
        <w:pStyle w:val="FirstParagraph"/>
      </w:pPr>
      <w:r>
        <w:t xml:space="preserve">On n = 3,112 Type B positives, sensitivity was DFFN 0.607, MHCflurry 0.668, MUNIS 0.647, and BigMHC 0.660 (Table 7; Figure 9). The four values fall within a narrow band (0.607–0.668), far below the ~0.98 canonical sensitivity, and the attention-based BigMHC does not lift the ceiling either. This convergence is, however, partly a threshold artifact: the predictors operate at different points (DFFN at a fixed 0.95 score, MHCflurry at 500 nM, MUNIS and BigMHC at the 5th percentile of canonical scores), and when aligned to matched canonical sensitivity (0.90/0.95/0.98) the Type B sensitivities diverge monotonically — DFFN 0.369/0.454/0.610, MHCflurry 0.385/0.497/0.628, MUNIS 0.521/0.647/0.773, BigMHC 0.555/0.653/0.740. Yet regardless of operating point, non-canonical (Type B) sensitivity stays far below the ~0.98 canonical level for every predictor — at matched canonical sensitivity 0.98 the best Type B value is 0.773 (MUNIS) and 0.740 (BigMHC) — so the non-canonical tail is genuinely prediction-resistant, and neither richer embeddings nor attention-based architectures close the gap.</w:t>
      </w:r>
    </w:p>
    <w:p>
      <w:pPr>
        <w:pStyle w:val="BodyText"/>
      </w:pPr>
      <w:r>
        <w:rPr>
          <w:b/>
          <w:bCs/>
        </w:rPr>
        <w:t xml:space="preserve">Table 7. Predictor sensitivity by binder class (pooled, 5 alleles).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Predictor</w:t>
            </w:r>
          </w:p>
        </w:tc>
        <w:tc>
          <w:tcPr/>
          <w:p>
            <w:pPr>
              <w:pStyle w:val="Compact"/>
              <w:jc w:val="center"/>
            </w:pPr>
            <w:r>
              <w:t xml:space="preserve">Canonical (n=11,225)</w:t>
            </w:r>
          </w:p>
        </w:tc>
        <w:tc>
          <w:tcPr/>
          <w:p>
            <w:pPr>
              <w:pStyle w:val="Compact"/>
              <w:jc w:val="center"/>
            </w:pPr>
            <w:r>
              <w:t xml:space="preserve">Type A (n=151)</w:t>
            </w:r>
          </w:p>
        </w:tc>
        <w:tc>
          <w:tcPr/>
          <w:p>
            <w:pPr>
              <w:pStyle w:val="Compact"/>
              <w:jc w:val="center"/>
            </w:pPr>
            <w:r>
              <w:t xml:space="preserve">Type B (n=3,112)</w:t>
            </w:r>
          </w:p>
        </w:tc>
      </w:tr>
      <w:tr>
        <w:tc>
          <w:tcPr/>
          <w:p>
            <w:pPr>
              <w:pStyle w:val="Compact"/>
            </w:pPr>
            <w:r>
              <w:t xml:space="preserve">DFFN (sequence)</w:t>
            </w:r>
          </w:p>
        </w:tc>
        <w:tc>
          <w:tcPr/>
          <w:p>
            <w:pPr>
              <w:pStyle w:val="Compact"/>
              <w:jc w:val="center"/>
            </w:pPr>
            <w:r>
              <w:t xml:space="preserve">0.979</w:t>
            </w:r>
          </w:p>
        </w:tc>
        <w:tc>
          <w:tcPr/>
          <w:p>
            <w:pPr>
              <w:pStyle w:val="Compact"/>
              <w:jc w:val="center"/>
            </w:pPr>
            <w:r>
              <w:t xml:space="preserve">0.477</w:t>
            </w:r>
          </w:p>
        </w:tc>
        <w:tc>
          <w:tcPr/>
          <w:p>
            <w:pPr>
              <w:pStyle w:val="Compact"/>
              <w:jc w:val="center"/>
            </w:pPr>
            <w:r>
              <w:t xml:space="preserve">0.607</w:t>
            </w:r>
          </w:p>
        </w:tc>
      </w:tr>
      <w:tr>
        <w:tc>
          <w:tcPr/>
          <w:p>
            <w:pPr>
              <w:pStyle w:val="Compact"/>
            </w:pPr>
            <w:r>
              <w:t xml:space="preserve">MHCflurry (sequence)</w:t>
            </w:r>
          </w:p>
        </w:tc>
        <w:tc>
          <w:tcPr/>
          <w:p>
            <w:pPr>
              <w:pStyle w:val="Compact"/>
              <w:jc w:val="center"/>
            </w:pPr>
            <w:r>
              <w:t xml:space="preserve">0.986</w:t>
            </w:r>
          </w:p>
        </w:tc>
        <w:tc>
          <w:tcPr/>
          <w:p>
            <w:pPr>
              <w:pStyle w:val="Compact"/>
              <w:jc w:val="center"/>
            </w:pPr>
            <w:r>
              <w:t xml:space="preserve">0.669</w:t>
            </w:r>
          </w:p>
        </w:tc>
        <w:tc>
          <w:tcPr/>
          <w:p>
            <w:pPr>
              <w:pStyle w:val="Compact"/>
              <w:jc w:val="center"/>
            </w:pPr>
            <w:r>
              <w:t xml:space="preserve">0.668</w:t>
            </w:r>
          </w:p>
        </w:tc>
      </w:tr>
      <w:tr>
        <w:tc>
          <w:tcPr/>
          <w:p>
            <w:pPr>
              <w:pStyle w:val="Compact"/>
            </w:pPr>
            <w:r>
              <w:t xml:space="preserve">MUNIS (sequence)</w:t>
            </w:r>
          </w:p>
        </w:tc>
        <w:tc>
          <w:tcPr/>
          <w:p>
            <w:pPr>
              <w:pStyle w:val="Compact"/>
              <w:jc w:val="center"/>
            </w:pPr>
            <w:r>
              <w:t xml:space="preserve">0.950</w:t>
            </w:r>
          </w:p>
        </w:tc>
        <w:tc>
          <w:tcPr/>
          <w:p>
            <w:pPr>
              <w:pStyle w:val="Compact"/>
              <w:jc w:val="center"/>
            </w:pPr>
            <w:r>
              <w:t xml:space="preserve">—</w:t>
            </w:r>
          </w:p>
        </w:tc>
        <w:tc>
          <w:tcPr/>
          <w:p>
            <w:pPr>
              <w:pStyle w:val="Compact"/>
              <w:jc w:val="center"/>
            </w:pPr>
            <w:r>
              <w:t xml:space="preserve">0.647</w:t>
            </w:r>
          </w:p>
        </w:tc>
      </w:tr>
      <w:tr>
        <w:tc>
          <w:tcPr/>
          <w:p>
            <w:pPr>
              <w:pStyle w:val="Compact"/>
            </w:pPr>
            <w:r>
              <w:t xml:space="preserve">BigMHC (sequence)</w:t>
            </w:r>
          </w:p>
        </w:tc>
        <w:tc>
          <w:tcPr/>
          <w:p>
            <w:pPr>
              <w:pStyle w:val="Compact"/>
              <w:jc w:val="center"/>
            </w:pPr>
            <w:r>
              <w:t xml:space="preserve">0.950</w:t>
            </w:r>
          </w:p>
        </w:tc>
        <w:tc>
          <w:tcPr/>
          <w:p>
            <w:pPr>
              <w:pStyle w:val="Compact"/>
              <w:jc w:val="center"/>
            </w:pPr>
            <w:r>
              <w:t xml:space="preserve">0.600</w:t>
            </w:r>
          </w:p>
        </w:tc>
        <w:tc>
          <w:tcPr/>
          <w:p>
            <w:pPr>
              <w:pStyle w:val="Compact"/>
              <w:jc w:val="center"/>
            </w:pPr>
            <w:r>
              <w:t xml:space="preserve">0.660</w:t>
            </w:r>
          </w:p>
        </w:tc>
      </w:tr>
    </w:tbl>
    <w:bookmarkEnd w:id="30"/>
    <w:bookmarkStart w:id="31" w:name="X852a807115fd532ce4fca9dc86d7a16c3ff432e"/>
    <w:p>
      <w:pPr>
        <w:pStyle w:val="Heading3"/>
      </w:pPr>
      <w:r>
        <w:t xml:space="preserve">3.8 Type A (tolerated weak anchors) is under-represented in training</w:t>
      </w:r>
    </w:p>
    <w:p>
      <w:pPr>
        <w:pStyle w:val="FirstParagraph"/>
      </w:pPr>
      <w:r>
        <w:t xml:space="preserve">On n = 151 Type A positives, DFFN achieved 0.477 and MHCflurry 0.669 (MUNIS not evaluated). Broad-motif retraining did not recover Type A (Table 8); the low sensitivity reflects under-representation of these heterogeneous, weak binders in the training data (independent predictors MHCflurry 0.669 and BigMHC 0.600 outperform DFFN 0.477 on the same set).</w:t>
      </w:r>
    </w:p>
    <w:p>
      <w:pPr>
        <w:pStyle w:val="BodyText"/>
      </w:pPr>
      <w:r>
        <w:rPr>
          <w:b/>
          <w:bCs/>
        </w:rPr>
        <w:t xml:space="preserve">Table 8. Broad-motif retraining does not consistently recover Type A across alleles.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Allele</w:t>
            </w:r>
          </w:p>
        </w:tc>
        <w:tc>
          <w:tcPr/>
          <w:p>
            <w:pPr>
              <w:pStyle w:val="Compact"/>
              <w:jc w:val="center"/>
            </w:pPr>
            <w:r>
              <w:t xml:space="preserve">Type A before</w:t>
            </w:r>
          </w:p>
        </w:tc>
        <w:tc>
          <w:tcPr/>
          <w:p>
            <w:pPr>
              <w:pStyle w:val="Compact"/>
              <w:jc w:val="center"/>
            </w:pPr>
            <w:r>
              <w:t xml:space="preserve">Type A after</w:t>
            </w:r>
          </w:p>
        </w:tc>
        <w:tc>
          <w:tcPr/>
          <w:p>
            <w:pPr>
              <w:pStyle w:val="Compact"/>
              <w:jc w:val="center"/>
            </w:pPr>
            <w:r>
              <w:t xml:space="preserve">Type B after</w:t>
            </w:r>
          </w:p>
        </w:tc>
      </w:tr>
      <w:tr>
        <w:tc>
          <w:tcPr/>
          <w:p>
            <w:pPr>
              <w:pStyle w:val="Compact"/>
            </w:pPr>
            <w:r>
              <w:t xml:space="preserve">A*03:01</w:t>
            </w:r>
          </w:p>
        </w:tc>
        <w:tc>
          <w:tcPr/>
          <w:p>
            <w:pPr>
              <w:pStyle w:val="Compact"/>
              <w:jc w:val="center"/>
            </w:pPr>
            <w:r>
              <w:t xml:space="preserve">—</w:t>
            </w:r>
          </w:p>
        </w:tc>
        <w:tc>
          <w:tcPr/>
          <w:p>
            <w:pPr>
              <w:pStyle w:val="Compact"/>
              <w:jc w:val="center"/>
            </w:pPr>
            <w:r>
              <w:t xml:space="preserve">0.634</w:t>
            </w:r>
          </w:p>
        </w:tc>
        <w:tc>
          <w:tcPr/>
          <w:p>
            <w:pPr>
              <w:pStyle w:val="Compact"/>
              <w:jc w:val="center"/>
            </w:pPr>
            <w:r>
              <w:t xml:space="preserve">—</w:t>
            </w:r>
          </w:p>
        </w:tc>
      </w:tr>
      <w:tr>
        <w:tc>
          <w:tcPr/>
          <w:p>
            <w:pPr>
              <w:pStyle w:val="Compact"/>
            </w:pPr>
            <w:r>
              <w:t xml:space="preserve">A*02:01</w:t>
            </w:r>
          </w:p>
        </w:tc>
        <w:tc>
          <w:tcPr/>
          <w:p>
            <w:pPr>
              <w:pStyle w:val="Compact"/>
              <w:jc w:val="center"/>
            </w:pPr>
            <w:r>
              <w:t xml:space="preserve">0.08</w:t>
            </w:r>
          </w:p>
        </w:tc>
        <w:tc>
          <w:tcPr/>
          <w:p>
            <w:pPr>
              <w:pStyle w:val="Compact"/>
              <w:jc w:val="center"/>
            </w:pPr>
            <w:r>
              <w:t xml:space="preserve">0.24</w:t>
            </w:r>
          </w:p>
        </w:tc>
        <w:tc>
          <w:tcPr/>
          <w:p>
            <w:pPr>
              <w:pStyle w:val="Compact"/>
              <w:jc w:val="center"/>
            </w:pPr>
            <w:r>
              <w:t xml:space="preserve">—</w:t>
            </w:r>
          </w:p>
        </w:tc>
      </w:tr>
      <w:tr>
        <w:tc>
          <w:tcPr/>
          <w:p>
            <w:pPr>
              <w:pStyle w:val="Compact"/>
            </w:pPr>
            <w:r>
              <w:t xml:space="preserve">B*07:02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0.341 (from 0.680)</w:t>
            </w:r>
          </w:p>
        </w:tc>
      </w:tr>
    </w:tbl>
    <w:bookmarkEnd w:id="31"/>
    <w:bookmarkStart w:id="32" w:name="Xae4eebc59097160a2722f0b697afc2cb184dfbe"/>
    <w:p>
      <w:pPr>
        <w:pStyle w:val="Heading3"/>
      </w:pPr>
      <w:r>
        <w:t xml:space="preserve">3.9 The extreme tail is prediction-resistant, cross-predictor</w:t>
      </w:r>
    </w:p>
    <w:p>
      <w:pPr>
        <w:pStyle w:val="FirstParagraph"/>
      </w:pPr>
      <w:r>
        <w:t xml:space="preserve">The single-allele false negative (TLGIVCPIC) and the KRAS G12V P2-Lys epitope YKLVVVGAV were scored as non-binders by all three predictors (MHCflurry 3.8–13.8 µM; DFFN 0.000–0.254; MUNIS 3/4 low), despite experimental CTL evidence — albeit the weakest of three mutants screened [17].</w:t>
      </w:r>
    </w:p>
    <w:bookmarkEnd w:id="32"/>
    <w:bookmarkStart w:id="33" w:name="X9c6bf181d7a016fe1245acfa5b56e2f58efb112"/>
    <w:p>
      <w:pPr>
        <w:pStyle w:val="Heading3"/>
      </w:pPr>
      <w:r>
        <w:t xml:space="preserve">3.10 Scaling: one model approximates a 15-allele panel</w:t>
      </w:r>
    </w:p>
    <w:p>
      <w:pPr>
        <w:pStyle w:val="FirstParagraph"/>
      </w:pPr>
      <w:r>
        <w:t xml:space="preserve">The rebalanced pan16 reached pooled non-canonical sensitivity 0.819 (307/375,</w:t>
      </w:r>
      <w:r>
        <w:t xml:space="preserve"> </w:t>
      </w:r>
      <w:r>
        <w:t xml:space="preserve">@0.95</w:t>
      </w:r>
      <w:r>
        <w:t xml:space="preserve">), with 12/15 alleles at 0.76–1.0 (Table 9; Figure 10). The weak tail — B*27:05 (0.08), B*51:01 (0.52), B*07:02 (0.64), A*24:02 (0.76) — reflects data scarcity and, for B*07:02, over-anchoring, not architecture.</w:t>
      </w:r>
    </w:p>
    <w:p>
      <w:pPr>
        <w:pStyle w:val="BodyText"/>
      </w:pPr>
      <w:r>
        <w:rPr>
          <w:b/>
          <w:bCs/>
        </w:rPr>
        <w:t xml:space="preserve">Table 9. Pan16 non-canonical sensitivity by allele (15-allele panel,</w:t>
      </w:r>
      <w:r>
        <w:rPr>
          <w:b/>
          <w:bCs/>
        </w:rPr>
        <w:t xml:space="preserve"> </w:t>
      </w:r>
      <w:r>
        <w:rPr>
          <w:b/>
          <w:bCs/>
        </w:rPr>
        <w:t xml:space="preserve">@0.95</w:t>
      </w:r>
      <w:r>
        <w:rPr>
          <w:b/>
          <w:b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Allele</w:t>
            </w:r>
          </w:p>
        </w:tc>
        <w:tc>
          <w:tcPr/>
          <w:p>
            <w:pPr>
              <w:pStyle w:val="Compact"/>
              <w:jc w:val="center"/>
            </w:pPr>
            <w:r>
              <w:t xml:space="preserve">Sens</w:t>
            </w:r>
          </w:p>
        </w:tc>
        <w:tc>
          <w:tcPr/>
          <w:p>
            <w:pPr>
              <w:pStyle w:val="Compact"/>
            </w:pPr>
            <w:r>
              <w:t xml:space="preserve">Allele</w:t>
            </w:r>
          </w:p>
        </w:tc>
        <w:tc>
          <w:tcPr/>
          <w:p>
            <w:pPr>
              <w:pStyle w:val="Compact"/>
              <w:jc w:val="center"/>
            </w:pPr>
            <w:r>
              <w:t xml:space="preserve">Sens</w:t>
            </w:r>
          </w:p>
        </w:tc>
      </w:tr>
      <w:tr>
        <w:tc>
          <w:tcPr/>
          <w:p>
            <w:pPr>
              <w:pStyle w:val="Compact"/>
            </w:pPr>
            <w:r>
              <w:t xml:space="preserve">A*02:01</w:t>
            </w:r>
          </w:p>
        </w:tc>
        <w:tc>
          <w:tcPr/>
          <w:p>
            <w:pPr>
              <w:pStyle w:val="Compact"/>
              <w:jc w:val="center"/>
            </w:pPr>
            <w:r>
              <w:t xml:space="preserve">0.88</w:t>
            </w:r>
          </w:p>
        </w:tc>
        <w:tc>
          <w:tcPr/>
          <w:p>
            <w:pPr>
              <w:pStyle w:val="Compact"/>
            </w:pPr>
            <w:r>
              <w:t xml:space="preserve">A*11:01</w:t>
            </w:r>
          </w:p>
        </w:tc>
        <w:tc>
          <w:tcPr/>
          <w:p>
            <w:pPr>
              <w:pStyle w:val="Compact"/>
              <w:jc w:val="center"/>
            </w:pPr>
            <w:r>
              <w:t xml:space="preserve">1.00</w:t>
            </w:r>
          </w:p>
        </w:tc>
      </w:tr>
      <w:tr>
        <w:tc>
          <w:tcPr/>
          <w:p>
            <w:pPr>
              <w:pStyle w:val="Compact"/>
            </w:pPr>
            <w:r>
              <w:t xml:space="preserve">A*01:01</w:t>
            </w:r>
          </w:p>
        </w:tc>
        <w:tc>
          <w:tcPr/>
          <w:p>
            <w:pPr>
              <w:pStyle w:val="Compact"/>
              <w:jc w:val="center"/>
            </w:pPr>
            <w:r>
              <w:t xml:space="preserve">0.80</w:t>
            </w:r>
          </w:p>
        </w:tc>
        <w:tc>
          <w:tcPr/>
          <w:p>
            <w:pPr>
              <w:pStyle w:val="Compact"/>
            </w:pPr>
            <w:r>
              <w:t xml:space="preserve">A*24:02</w:t>
            </w:r>
          </w:p>
        </w:tc>
        <w:tc>
          <w:tcPr/>
          <w:p>
            <w:pPr>
              <w:pStyle w:val="Compact"/>
              <w:jc w:val="center"/>
            </w:pPr>
            <w:r>
              <w:t xml:space="preserve">0.76</w:t>
            </w:r>
          </w:p>
        </w:tc>
      </w:tr>
      <w:tr>
        <w:tc>
          <w:tcPr/>
          <w:p>
            <w:pPr>
              <w:pStyle w:val="Compact"/>
            </w:pPr>
            <w:r>
              <w:t xml:space="preserve">A*03:01</w:t>
            </w:r>
          </w:p>
        </w:tc>
        <w:tc>
          <w:tcPr/>
          <w:p>
            <w:pPr>
              <w:pStyle w:val="Compact"/>
              <w:jc w:val="center"/>
            </w:pPr>
            <w:r>
              <w:t xml:space="preserve">1.00</w:t>
            </w:r>
          </w:p>
        </w:tc>
        <w:tc>
          <w:tcPr/>
          <w:p>
            <w:pPr>
              <w:pStyle w:val="Compact"/>
            </w:pPr>
            <w:r>
              <w:t xml:space="preserve">B*08:01</w:t>
            </w:r>
          </w:p>
        </w:tc>
        <w:tc>
          <w:tcPr/>
          <w:p>
            <w:pPr>
              <w:pStyle w:val="Compact"/>
              <w:jc w:val="center"/>
            </w:pPr>
            <w:r>
              <w:t xml:space="preserve">0.88</w:t>
            </w:r>
          </w:p>
        </w:tc>
      </w:tr>
      <w:tr>
        <w:tc>
          <w:tcPr/>
          <w:p>
            <w:pPr>
              <w:pStyle w:val="Compact"/>
            </w:pPr>
            <w:r>
              <w:t xml:space="preserve">B*07:02</w:t>
            </w:r>
          </w:p>
        </w:tc>
        <w:tc>
          <w:tcPr/>
          <w:p>
            <w:pPr>
              <w:pStyle w:val="Compact"/>
              <w:jc w:val="center"/>
            </w:pPr>
            <w:r>
              <w:t xml:space="preserve">0.64</w:t>
            </w:r>
          </w:p>
        </w:tc>
        <w:tc>
          <w:tcPr/>
          <w:p>
            <w:pPr>
              <w:pStyle w:val="Compact"/>
            </w:pPr>
            <w:r>
              <w:t xml:space="preserve">B*15:01</w:t>
            </w:r>
          </w:p>
        </w:tc>
        <w:tc>
          <w:tcPr/>
          <w:p>
            <w:pPr>
              <w:pStyle w:val="Compact"/>
              <w:jc w:val="center"/>
            </w:pPr>
            <w:r>
              <w:t xml:space="preserve">0.96</w:t>
            </w:r>
          </w:p>
        </w:tc>
      </w:tr>
      <w:tr>
        <w:tc>
          <w:tcPr/>
          <w:p>
            <w:pPr>
              <w:pStyle w:val="Compact"/>
            </w:pPr>
            <w:r>
              <w:t xml:space="preserve">B*44:03</w:t>
            </w:r>
          </w:p>
        </w:tc>
        <w:tc>
          <w:tcPr/>
          <w:p>
            <w:pPr>
              <w:pStyle w:val="Compact"/>
              <w:jc w:val="center"/>
            </w:pPr>
            <w:r>
              <w:t xml:space="preserve">1.00</w:t>
            </w:r>
          </w:p>
        </w:tc>
        <w:tc>
          <w:tcPr/>
          <w:p>
            <w:pPr>
              <w:pStyle w:val="Compact"/>
            </w:pPr>
            <w:r>
              <w:t xml:space="preserve">B*27:05</w:t>
            </w:r>
          </w:p>
        </w:tc>
        <w:tc>
          <w:tcPr/>
          <w:p>
            <w:pPr>
              <w:pStyle w:val="Compact"/>
              <w:jc w:val="center"/>
            </w:pPr>
            <w:r>
              <w:t xml:space="preserve">0.08</w:t>
            </w:r>
          </w:p>
        </w:tc>
      </w:tr>
      <w:tr>
        <w:tc>
          <w:tcPr/>
          <w:p>
            <w:pPr>
              <w:pStyle w:val="Compact"/>
            </w:pPr>
          </w:p>
        </w:tc>
        <w:tc>
          <w:tcPr/>
          <w:p>
            <w:pPr>
              <w:pStyle w:val="Compact"/>
            </w:pPr>
          </w:p>
        </w:tc>
        <w:tc>
          <w:tcPr/>
          <w:p>
            <w:pPr>
              <w:pStyle w:val="Compact"/>
            </w:pPr>
            <w:r>
              <w:t xml:space="preserve">B*35:01</w:t>
            </w:r>
          </w:p>
        </w:tc>
        <w:tc>
          <w:tcPr/>
          <w:p>
            <w:pPr>
              <w:pStyle w:val="Compact"/>
              <w:jc w:val="center"/>
            </w:pPr>
            <w:r>
              <w:t xml:space="preserve">0.84</w:t>
            </w:r>
          </w:p>
        </w:tc>
      </w:tr>
      <w:tr>
        <w:tc>
          <w:tcPr/>
          <w:p>
            <w:pPr>
              <w:pStyle w:val="Compact"/>
            </w:pPr>
          </w:p>
        </w:tc>
        <w:tc>
          <w:tcPr/>
          <w:p>
            <w:pPr>
              <w:pStyle w:val="Compact"/>
            </w:pPr>
          </w:p>
        </w:tc>
        <w:tc>
          <w:tcPr/>
          <w:p>
            <w:pPr>
              <w:pStyle w:val="Compact"/>
            </w:pPr>
            <w:r>
              <w:t xml:space="preserve">B*40:01</w:t>
            </w:r>
          </w:p>
        </w:tc>
        <w:tc>
          <w:tcPr/>
          <w:p>
            <w:pPr>
              <w:pStyle w:val="Compact"/>
              <w:jc w:val="center"/>
            </w:pPr>
            <w:r>
              <w:t xml:space="preserve">1.00</w:t>
            </w:r>
          </w:p>
        </w:tc>
      </w:tr>
      <w:tr>
        <w:tc>
          <w:tcPr/>
          <w:p>
            <w:pPr>
              <w:pStyle w:val="Compact"/>
            </w:pPr>
          </w:p>
        </w:tc>
        <w:tc>
          <w:tcPr/>
          <w:p>
            <w:pPr>
              <w:pStyle w:val="Compact"/>
            </w:pPr>
          </w:p>
        </w:tc>
        <w:tc>
          <w:tcPr/>
          <w:p>
            <w:pPr>
              <w:pStyle w:val="Compact"/>
            </w:pPr>
            <w:r>
              <w:t xml:space="preserve">B*49:01</w:t>
            </w:r>
          </w:p>
        </w:tc>
        <w:tc>
          <w:tcPr/>
          <w:p>
            <w:pPr>
              <w:pStyle w:val="Compact"/>
              <w:jc w:val="center"/>
            </w:pPr>
            <w:r>
              <w:t xml:space="preserve">1.00</w:t>
            </w:r>
          </w:p>
        </w:tc>
      </w:tr>
      <w:tr>
        <w:tc>
          <w:tcPr/>
          <w:p>
            <w:pPr>
              <w:pStyle w:val="Compact"/>
            </w:pPr>
          </w:p>
        </w:tc>
        <w:tc>
          <w:tcPr/>
          <w:p>
            <w:pPr>
              <w:pStyle w:val="Compact"/>
            </w:pPr>
          </w:p>
        </w:tc>
        <w:tc>
          <w:tcPr/>
          <w:p>
            <w:pPr>
              <w:pStyle w:val="Compact"/>
            </w:pPr>
            <w:r>
              <w:t xml:space="preserve">B*51:01</w:t>
            </w:r>
          </w:p>
        </w:tc>
        <w:tc>
          <w:tcPr/>
          <w:p>
            <w:pPr>
              <w:pStyle w:val="Compact"/>
              <w:jc w:val="center"/>
            </w:pPr>
            <w:r>
              <w:t xml:space="preserve">0.52</w:t>
            </w:r>
          </w:p>
        </w:tc>
      </w:tr>
      <w:tr>
        <w:tc>
          <w:tcPr/>
          <w:p>
            <w:pPr>
              <w:pStyle w:val="Compact"/>
            </w:pPr>
          </w:p>
        </w:tc>
        <w:tc>
          <w:tcPr/>
          <w:p>
            <w:pPr>
              <w:pStyle w:val="Compact"/>
            </w:pPr>
          </w:p>
        </w:tc>
        <w:tc>
          <w:tcPr/>
          <w:p>
            <w:pPr>
              <w:pStyle w:val="Compact"/>
            </w:pPr>
            <w:r>
              <w:t xml:space="preserve">B*57:01</w:t>
            </w:r>
          </w:p>
        </w:tc>
        <w:tc>
          <w:tcPr/>
          <w:p>
            <w:pPr>
              <w:pStyle w:val="Compact"/>
              <w:jc w:val="center"/>
            </w:pPr>
            <w:r>
              <w:t xml:space="preserve">0.92</w:t>
            </w:r>
          </w:p>
        </w:tc>
      </w:tr>
      <w:tr>
        <w:tc>
          <w:tcPr/>
          <w:p>
            <w:pPr>
              <w:pStyle w:val="Compact"/>
            </w:pPr>
            <w:r>
              <w:rPr>
                <w:b/>
                <w:bCs/>
              </w:rPr>
              <w:t xml:space="preserve">Pooled</w:t>
            </w:r>
          </w:p>
        </w:tc>
        <w:tc>
          <w:tcPr/>
          <w:p>
            <w:pPr>
              <w:pStyle w:val="Compact"/>
              <w:jc w:val="center"/>
            </w:pPr>
            <w:r>
              <w:rPr>
                <w:b/>
                <w:bCs/>
              </w:rPr>
              <w:t xml:space="preserve">0.819</w:t>
            </w:r>
          </w:p>
        </w:tc>
        <w:tc>
          <w:tcPr/>
          <w:p>
            <w:pPr>
              <w:pStyle w:val="Compact"/>
            </w:pPr>
          </w:p>
        </w:tc>
        <w:tc>
          <w:tcPr/>
          <w:p>
            <w:pPr>
              <w:pStyle w:val="Compact"/>
            </w:pPr>
          </w:p>
        </w:tc>
      </w:tr>
    </w:tbl>
    <w:bookmarkEnd w:id="33"/>
    <w:bookmarkStart w:id="34" w:name="X48311649840dc191078378d8cff80f3bf67f572"/>
    <w:p>
      <w:pPr>
        <w:pStyle w:val="Heading3"/>
      </w:pPr>
      <w:r>
        <w:t xml:space="preserve">3.11 Temporal holdout shows no detectable generalisation penalty</w:t>
      </w:r>
    </w:p>
    <w:p>
      <w:pPr>
        <w:pStyle w:val="FirstParagraph"/>
      </w:pPr>
      <w:r>
        <w:t xml:space="preserve">Post-2022 epitopes (unseen by the labeler) were recognized at sens@0.95: A*02:01 0.824, A*03:01 0.936, B*07:02 0.973 — preserved versus pre-2021 (0.879/0.905/0.898; Table 10, Figure 11), with no systematic drop.</w:t>
      </w:r>
    </w:p>
    <w:p>
      <w:pPr>
        <w:pStyle w:val="BodyText"/>
      </w:pPr>
      <w:r>
        <w:rPr>
          <w:b/>
          <w:bCs/>
        </w:rPr>
        <w:t xml:space="preserve">Table 10. Temporal holdout: pre-2021 vs. post-2022 sensitivity (</w:t>
      </w:r>
      <w:r>
        <w:rPr>
          <w:b/>
          <w:bCs/>
        </w:rPr>
        <w:t xml:space="preserve">@0.95</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Allele</w:t>
            </w:r>
          </w:p>
        </w:tc>
        <w:tc>
          <w:tcPr/>
          <w:p>
            <w:pPr>
              <w:pStyle w:val="Compact"/>
              <w:jc w:val="center"/>
            </w:pPr>
            <w:r>
              <w:t xml:space="preserve">Pre-2021 (in-distribution)</w:t>
            </w:r>
          </w:p>
        </w:tc>
        <w:tc>
          <w:tcPr/>
          <w:p>
            <w:pPr>
              <w:pStyle w:val="Compact"/>
              <w:jc w:val="center"/>
            </w:pPr>
            <w:r>
              <w:t xml:space="preserve">Post-2022 (unseen)</w:t>
            </w:r>
          </w:p>
        </w:tc>
      </w:tr>
      <w:tr>
        <w:tc>
          <w:tcPr/>
          <w:p>
            <w:pPr>
              <w:pStyle w:val="Compact"/>
            </w:pPr>
            <w:r>
              <w:t xml:space="preserve">A*02:01</w:t>
            </w:r>
          </w:p>
        </w:tc>
        <w:tc>
          <w:tcPr/>
          <w:p>
            <w:pPr>
              <w:pStyle w:val="Compact"/>
              <w:jc w:val="center"/>
            </w:pPr>
            <w:r>
              <w:t xml:space="preserve">0.879</w:t>
            </w:r>
          </w:p>
        </w:tc>
        <w:tc>
          <w:tcPr/>
          <w:p>
            <w:pPr>
              <w:pStyle w:val="Compact"/>
              <w:jc w:val="center"/>
            </w:pPr>
            <w:r>
              <w:t xml:space="preserve">0.824</w:t>
            </w:r>
          </w:p>
        </w:tc>
      </w:tr>
      <w:tr>
        <w:tc>
          <w:tcPr/>
          <w:p>
            <w:pPr>
              <w:pStyle w:val="Compact"/>
            </w:pPr>
            <w:r>
              <w:t xml:space="preserve">A*03:01</w:t>
            </w:r>
          </w:p>
        </w:tc>
        <w:tc>
          <w:tcPr/>
          <w:p>
            <w:pPr>
              <w:pStyle w:val="Compact"/>
              <w:jc w:val="center"/>
            </w:pPr>
            <w:r>
              <w:t xml:space="preserve">0.905</w:t>
            </w:r>
          </w:p>
        </w:tc>
        <w:tc>
          <w:tcPr/>
          <w:p>
            <w:pPr>
              <w:pStyle w:val="Compact"/>
              <w:jc w:val="center"/>
            </w:pPr>
            <w:r>
              <w:t xml:space="preserve">0.936</w:t>
            </w:r>
          </w:p>
        </w:tc>
      </w:tr>
      <w:tr>
        <w:tc>
          <w:tcPr/>
          <w:p>
            <w:pPr>
              <w:pStyle w:val="Compact"/>
            </w:pPr>
            <w:r>
              <w:t xml:space="preserve">B*07:02</w:t>
            </w:r>
          </w:p>
        </w:tc>
        <w:tc>
          <w:tcPr/>
          <w:p>
            <w:pPr>
              <w:pStyle w:val="Compact"/>
              <w:jc w:val="center"/>
            </w:pPr>
            <w:r>
              <w:t xml:space="preserve">0.898</w:t>
            </w:r>
          </w:p>
        </w:tc>
        <w:tc>
          <w:tcPr/>
          <w:p>
            <w:pPr>
              <w:pStyle w:val="Compact"/>
              <w:jc w:val="center"/>
            </w:pPr>
            <w:r>
              <w:t xml:space="preserve">0.973</w:t>
            </w:r>
          </w:p>
        </w:tc>
      </w:tr>
    </w:tbl>
    <w:bookmarkEnd w:id="34"/>
    <w:bookmarkStart w:id="35" w:name="learned-feature-representations"/>
    <w:p>
      <w:pPr>
        <w:pStyle w:val="Heading3"/>
      </w:pPr>
      <w:r>
        <w:t xml:space="preserve">3.12 Learned feature representations</w:t>
      </w:r>
    </w:p>
    <w:p>
      <w:pPr>
        <w:pStyle w:val="FirstParagraph"/>
      </w:pPr>
      <w:r>
        <w:t xml:space="preserve">Feature extraction from the Deep FFN penultimate dense layer revealed biologically meaningful structure (Figure 6). t-SNE showed partial class separation: SB peptides clustered distinctly (91% within the SB cluster), while WB peptides formed a transition zone between SB and NB — consistent with the 50–500 nM affinity boundary. Integrated-gradients identified position-specific anchor contributions (p9 dominated SB, p2/p3 WB, NB driven by absent anchors). Hierarchical clustering separated validated epitopes, with false negatives forming a distinct branch. Five features showed Pearson r &gt; 0.7 with binding score; a 1,000-iteration permutation test (≈0.3 expected by chance) confirmed genuine binding-relevant representations.</w:t>
      </w:r>
    </w:p>
    <w:bookmarkEnd w:id="35"/>
    <w:bookmarkEnd w:id="36"/>
    <w:bookmarkStart w:id="40" w:name="discussion"/>
    <w:p>
      <w:pPr>
        <w:pStyle w:val="Heading2"/>
      </w:pPr>
      <w:r>
        <w:t xml:space="preserve">4 Discussion</w:t>
      </w:r>
    </w:p>
    <w:bookmarkStart w:id="37" w:name="methodological-warnings"/>
    <w:p>
      <w:pPr>
        <w:pStyle w:val="Heading3"/>
      </w:pPr>
      <w:r>
        <w:t xml:space="preserve">Methodological warnings</w:t>
      </w:r>
    </w:p>
    <w:p>
      <w:pPr>
        <w:pStyle w:val="FirstParagraph"/>
      </w:pPr>
      <w:r>
        <w:t xml:space="preserve">Three apparent findings in this project dissolved under controlled re-analysis, each illustrating how benchmark composition can manufacture false conclusions. First, an apparent per-allele superiority over a pan model was a 10.6× training-data-size artifact, not biology. Second, a claimed</w:t>
      </w:r>
      <w:r>
        <w:t xml:space="preserve"> </w:t>
      </w:r>
      <w:r>
        <w:t xml:space="preserve">‘label quality dominates architecture’</w:t>
      </w:r>
      <w:r>
        <w:t xml:space="preserve"> </w:t>
      </w:r>
      <w:r>
        <w:t xml:space="preserve">result collapsed once the degenerate random-label null (which performed at chance, ~33%) was removed — the realistic label effect is smaller than the architecture range. Third, a reported</w:t>
      </w:r>
      <w:r>
        <w:t xml:space="preserve"> </w:t>
      </w:r>
      <w:r>
        <w:t xml:space="preserve">‘simple architecture beats complex ones’</w:t>
      </w:r>
      <w:r>
        <w:t xml:space="preserve"> </w:t>
      </w:r>
      <w:r>
        <w:t xml:space="preserve">ranking was an artifact of stale model checkpoints: re-training with fixed seeds showed a CNN instead ranked above the Deep FFN (91.9% vs 90.6%, higher in all five seeds). We recommend that peptide-MHC benchmarks report multi-seed estimates with confidence intervals, protein-background negatives, frozen data snapshots, and a state-of-the-art comparator such as NetMHCpan, to avoid these failure modes. The same failure modes recur beyond peptide-MHC: data leakage from protein language-model pretraining distorts downstream task performance whenever train/test splits are not pretraining-aware [18], and leakage is now recognised as a field-wide reproducibility problem affecting hundreds of papers across seventeen fields [19]. Dedicated guidance now exists for avoiding leakage in biological machine learning [20] and for reporting clinical prediction models [21]; a recent audit of biomolecular benchmarks found cross-split contamination and label conflicts pervasive across the field [22]; Box 1 instantiates these general principles for peptide-MHC benchmarking specifically.</w:t>
      </w:r>
    </w:p>
    <w:p>
      <w:pPr>
        <w:pStyle w:val="BodyText"/>
      </w:pPr>
      <w:r>
        <w:rPr>
          <w:b/>
          <w:bCs/>
        </w:rPr>
        <w:t xml:space="preserve">Box 1. Benchmark hygiene recommendations.</w:t>
      </w:r>
      <w:r>
        <w:t xml:space="preserve"> </w:t>
      </w:r>
      <w:r>
        <w:t xml:space="preserve">The three artifacts translate into reusable practices for immunoinformatics and machine-learning benchmarks: (1) equalise training-data size across model arms and report per-allele sample counts; (2) use a true i.i.d. random-label null (chance ≈ 33% for three balanced classes) rather than a degenerate control; (3) freeze data snapshots, model checkpoints, and label versions, and report multi-seed mean ± SD with confidence intervals; (4) report label provenance and break label circularity with a temporal holdout and an independent state-of-the-art comparator (NetMHCpan); (5) report performance under the natural class prior, not only a class-balanced prior, since a class-balanced benchmark overstates real-world utility. Each failure mode reproduced a false conclusion that was caught only by controlled re-analysis.</w:t>
      </w:r>
    </w:p>
    <w:p>
      <w:pPr>
        <w:pStyle w:val="BodyText"/>
      </w:pPr>
      <w:r>
        <w:t xml:space="preserve">Architecture choice has a modest but measurable effect on peptide-MHC binding prediction. Across five seeds, a CNN (91.9%) ranked above a Deep FFN (90.6%) by ~1.3 percentage points (higher in all five seeds; a small margin within seed-to-seed variability), while a Random Forest was clearly worse (79.7%), for a maximum inter-architecture range of ~12 percentage points. The top four architectures fell within ~2 percentage points, indicating that data quality and the decision boundary matter more than architectural complexity for this task. Random-label controls performed at chance (~33%), confirming that the observed performance reflects genuine signal rather than noise overfitting.</w:t>
      </w:r>
    </w:p>
    <w:p>
      <w:pPr>
        <w:pStyle w:val="BodyText"/>
      </w:pPr>
      <w:r>
        <w:t xml:space="preserve">A PSSM-derived label source yielded lower accuracy than MHCflurry labels (82.6% vs 90.6%, though on a separate peptide pool and therefore not a clean comparison). This does not support the hypothesis that deterministic biophysical labels are inherently superior to ML-derived labels; rather, it suggests that MHCflurry’s labels are at least as learnable as a simple PSSM. We emphasise that training on any computational label — including MHCflurry — re-deposits predictor bias into downstream models, and recommend that benchmarks report label provenance and the WB-class F1 as a standard diagnostic.</w:t>
      </w:r>
    </w:p>
    <w:p>
      <w:pPr>
        <w:pStyle w:val="BodyText"/>
      </w:pPr>
      <w:r>
        <w:t xml:space="preserve">An independent predictor, NetMHCpan-4.1, agreed with the MHCflurry labels on only 62.24% (323/519) of the held-out test peptides, versus 90.6% for a model trained on those labels. This ~28-point gap is consistent with label-definition divergence and/or label circularity, and cannot by itself attribute the gap to either: reported accuracies measure fidelity to a particular labeler rather than true binding.</w:t>
      </w:r>
    </w:p>
    <w:p>
      <w:pPr>
        <w:pStyle w:val="BodyText"/>
      </w:pPr>
      <w:r>
        <w:t xml:space="preserve">This circularity does not imply the training labels are uninformative: the MHCflurry-trained model retains ROC AUC 0.942 on 6,524 experimentally measured affinities (§3.4), confirming the labels carry genuine binding signal. We therefore formalise a</w:t>
      </w:r>
      <w:r>
        <w:t xml:space="preserve"> </w:t>
      </w:r>
      <w:r>
        <w:rPr>
          <w:b/>
          <w:bCs/>
        </w:rPr>
        <w:t xml:space="preserve">label-fidelity decomposition</w:t>
      </w:r>
      <w:r>
        <w:t xml:space="preserve"> </w:t>
      </w:r>
      <w:r>
        <w:t xml:space="preserve">of any benchmark’s reported accuracy into two orthogonal properties of a labelling scheme — its</w:t>
      </w:r>
      <w:r>
        <w:t xml:space="preserve"> </w:t>
      </w:r>
      <w:r>
        <w:rPr>
          <w:b/>
          <w:bCs/>
        </w:rPr>
        <w:t xml:space="preserve">absolute predictive fidelity</w:t>
      </w:r>
      <w:r>
        <w:t xml:space="preserve"> </w:t>
      </w:r>
      <w:r>
        <w:t xml:space="preserve">(agreement with experimental binding, which is high; AUC 0.942 on 6,524 measured affinities) and its</w:t>
      </w:r>
      <w:r>
        <w:t xml:space="preserve"> </w:t>
      </w:r>
      <w:r>
        <w:rPr>
          <w:b/>
          <w:bCs/>
        </w:rPr>
        <w:t xml:space="preserve">cross-labeler transferability</w:t>
      </w:r>
      <w:r>
        <w:t xml:space="preserve"> </w:t>
      </w:r>
      <w:r>
        <w:t xml:space="preserve">(agreement with an independent predictor, 62.24%, which is low). The former determines how much signal a downstream model can learn; the latter determines how much of a reported accuracy reflects the idiosyncratic decision boundary of one labeler rather than ground truth. Benchmarks that report accuracy only against a single computational labeler conflate the two and overstate generalisation.</w:t>
      </w:r>
    </w:p>
    <w:p>
      <w:pPr>
        <w:pStyle w:val="BodyText"/>
      </w:pPr>
      <w:r>
        <w:t xml:space="preserve">BLOSUM62 proved more robust than ESM-2 at single-allele scales: the 2,880-dimensional per-position embeddings overfit the 4,671-sample training set, and the single-split 93.3% reflects a favourable partition rather than a genuine advantage. The shallower 6-layer ESM-2 variant outperformed the deeper 12-layer model, and a PSSM label source (82.6%) underperformed MHCflurry labels. The language-model route may still be viable with continued pre-training on HLA-associated peptides [23].</w:t>
      </w:r>
    </w:p>
    <w:p>
      <w:pPr>
        <w:pStyle w:val="BodyText"/>
      </w:pPr>
      <w:r>
        <w:t xml:space="preserve">The multi-allele extension shows the recipe is portable: one rebalanced pan model matches per-allele specialists on four of five alleles (B*07:02 excepted) and reaches 0.819 pooled sensitivity on 15 alleles, approximating NetMHCpan’s practical value with a simple DFFN. This is consistent with the pan-specific paradigm established by mono-allelic immunopeptidomics [24], now exemplified by MixMHCpred v3.0’s pan-allele model, which outperforms state-of-the-art MHC-I ligand predictors across alleles and species [25]. Yet non-canonical (motif-failing) binders plateau at ~0.65 sensitivity across four sequence-based predictors: our Deep FFN (0.607), MHCflurry (0.668), the ESM-2-based MUNIS (0.647), and BigMHC (0.660) fall within a narrow band (0.61–0.67), far below the ~0.98 canonical sensitivity. This convergence is partly a threshold artifact — the predictors operate at unmatched points, and aligned to matched canonical sensitivity the values diverge (DFFN 0.454, MHCflurry 0.497, MUNIS 0.647, BigMHC 0.653) — so the shared ceiling is weaker than the raw band suggests, though it remains far below canonical performance for every predictor. The energy-compensated tail is prediction-resistant to all four. Canonical binding is solved across methods; the non-canonical tail is where current predictors still fall short. This frontier extends beyond anchor-motif violations to non-coding, fusion-derived, and post-translationally modified peptides, for which current predictors remain under-powered [26]. A new wave of transformer- and PLM-based predictors continues to improve canonical prediction [27,28], but whether any of them lifts the non-canonical plateau remains to be seen.</w:t>
      </w:r>
    </w:p>
    <w:bookmarkEnd w:id="37"/>
    <w:bookmarkStart w:id="38" w:name="translational-implications"/>
    <w:p>
      <w:pPr>
        <w:pStyle w:val="Heading3"/>
      </w:pPr>
      <w:r>
        <w:t xml:space="preserve">Translational implications</w:t>
      </w:r>
    </w:p>
    <w:p>
      <w:pPr>
        <w:pStyle w:val="FirstParagraph"/>
      </w:pPr>
      <w:r>
        <w:t xml:space="preserve">p53 R248W, which created</w:t>
      </w:r>
      <w:r>
        <w:t xml:space="preserve"> </w:t>
      </w:r>
      <w:r>
        <w:rPr>
          <w:rStyle w:val="VerbatimChar"/>
        </w:rPr>
        <w:t xml:space="preserve">MNWRPILTI</w:t>
      </w:r>
      <w:r>
        <w:t xml:space="preserve">, is among the most frequent TP53 missense mutations (~3.5% of somatic mutations, IARC); its vaccine potential requires experimental confirmation (IFN-γ ELISpot). KRAS G12C, which enhanced an existing epitope (WB→SB), is targeted by sotorasib and adagrasib, suggesting combination immunotherapy. We note that binding prediction alone does not establish immunogenicity: peptide–MHC stability predicts immunogenicity better than affinity [29,30], and high-throughput thermostability profiling now quantifies this at immunopeptidome scale [31,32].</w:t>
      </w:r>
    </w:p>
    <w:bookmarkEnd w:id="38"/>
    <w:bookmarkStart w:id="39" w:name="limitations"/>
    <w:p>
      <w:pPr>
        <w:pStyle w:val="Heading3"/>
      </w:pPr>
      <w:r>
        <w:t xml:space="preserve">Limitations</w:t>
      </w:r>
    </w:p>
    <w:p>
      <w:pPr>
        <w:pStyle w:val="FirstParagraph"/>
      </w:pPr>
      <w:r>
        <w:t xml:space="preserve">Training labels are MHCflurry-derived rather than experimental affinities, so our single-allele benchmark is itself subject to the label circularity we describe; we quantify this by cross-referencing the 42 A*02:01-verified IEDB epitopes against MHCflurry’s training corpus; the large majority overlapped, and the few non-overlapping epitopes were nonetheless correctly classified, providing limited evidence of generalisation beyond the training distribution. Similarly, the temporal holdout (§3.11) shows that post-2022 epitopes are recognised without a detectable drop, but the evaluated model’s training snapshot was not time-truncated to pre-2022, so this result bounds labeler-level circularity rather than formally excluding leakage of post-2022 peptides into the model’s training data. The single-allele design was deliberate — holding the allele constant isolates label-source variation from allele-driven confounds — but the multi-allele extension addresses the generalisability question directly. The multi-allele estimates rest on IEDB-derived positives; experimental (non-IEDB) validation of the extreme tail is outstanding, and a pMHC-fine-tuned structure model (beyond generic AlphaFold-Multimer) might lift the Type B plateau. All translational predictions and the cancer neoepitope candidates require experimental confirmation (e.g., IFN-γ ELISpot or tetramer staining). Antigen-processing steps (proteasomal cleavage, TAP transport) are not modelled.</w:t>
      </w:r>
    </w:p>
    <w:bookmarkEnd w:id="39"/>
    <w:bookmarkEnd w:id="40"/>
    <w:bookmarkStart w:id="41" w:name="conclusion"/>
    <w:p>
      <w:pPr>
        <w:pStyle w:val="Heading2"/>
      </w:pPr>
      <w:r>
        <w:t xml:space="preserve">5 Conclusion</w:t>
      </w:r>
    </w:p>
    <w:p>
      <w:pPr>
        <w:pStyle w:val="FirstParagraph"/>
      </w:pPr>
      <w:r>
        <w:t xml:space="preserve">Architecture choice has a modest effect on peptide-MHC binding prediction: a CNN ranked above the Deep FFN in all five seeds; the top four architectures fell within ~2 percentage points, and a Random Forest was clearly worse. Random-label controls confirmed chance-level performance, ruling out noise overfitting. Canonical binding is largely captured by the anchor motif, but a zero-parameter anchor rule (sensitivity 0.79) underperforms the trained model (0.98), which recovers non-canonical binders the rule misses — while non-canonical binders reach ~0.65 sensitivity across four sequence-based predictors at unmatched operating points, marking the unresolved part of the problem. Beyond peptide-MHC, the three artifacts we corrected — data-size imbalance, a degenerate null, and stale checkpoints — illustrate a general benchmark-composition failure mode that reproduces false conclusions across machine-learning benchmarks; the label-fidelity decomposition and the Box 1 checklist are offered as reusable safeguards that others can apply to their own benchmarks. Experimental validation of the non-canonical tail is the decisive next step.</w:t>
      </w:r>
    </w:p>
    <w:bookmarkEnd w:id="41"/>
    <w:bookmarkStart w:id="42" w:name="figure-legends"/>
    <w:p>
      <w:pPr>
        <w:pStyle w:val="Heading2"/>
      </w:pPr>
      <w:r>
        <w:t xml:space="preserve">Figure legends</w:t>
      </w:r>
    </w:p>
    <w:p>
      <w:pPr>
        <w:pStyle w:val="FirstParagraph"/>
      </w:pPr>
      <w:r>
        <w:rPr>
          <w:b/>
          <w:bCs/>
        </w:rPr>
        <w:t xml:space="preserve">Figure 1.</w:t>
      </w:r>
      <w:r>
        <w:t xml:space="preserve"> </w:t>
      </w:r>
      <w:r>
        <w:t xml:space="preserve">Model performance comparison across six architectures on the MHCflurry-labelled test set (accuracy, 5-seed mean ± SD).</w:t>
      </w:r>
    </w:p>
    <w:p>
      <w:pPr>
        <w:pStyle w:val="BodyText"/>
      </w:pPr>
      <w:r>
        <w:rPr>
          <w:b/>
          <w:bCs/>
        </w:rPr>
        <w:t xml:space="preserve">Figure 2.</w:t>
      </w:r>
      <w:r>
        <w:t xml:space="preserve"> </w:t>
      </w:r>
      <w:r>
        <w:t xml:space="preserve">Architecture comparison (Table 1) and label-source controls: MHCflurry (90.6%), PSSM (82.6%), random labels at chance (~33%).</w:t>
      </w:r>
    </w:p>
    <w:p>
      <w:pPr>
        <w:pStyle w:val="BodyText"/>
      </w:pPr>
      <w:r>
        <w:rPr>
          <w:b/>
          <w:bCs/>
        </w:rPr>
        <w:t xml:space="preserve">Figure 3.</w:t>
      </w:r>
      <w:r>
        <w:t xml:space="preserve"> </w:t>
      </w:r>
      <w:r>
        <w:t xml:space="preserve">IEDB benchmark: ROC curve (AUC 0.970), confusion matrix, per-epitope scores.</w:t>
      </w:r>
    </w:p>
    <w:p>
      <w:pPr>
        <w:pStyle w:val="BodyText"/>
      </w:pPr>
      <w:r>
        <w:rPr>
          <w:b/>
          <w:bCs/>
        </w:rPr>
        <w:t xml:space="preserve">Figure 4.</w:t>
      </w:r>
      <w:r>
        <w:t xml:space="preserve"> </w:t>
      </w:r>
      <w:r>
        <w:t xml:space="preserve">Protein epitope scanning: SB/WB/NB distribution across 10 proteins and top epitope candidates.</w:t>
      </w:r>
    </w:p>
    <w:p>
      <w:pPr>
        <w:pStyle w:val="BodyText"/>
      </w:pPr>
      <w:r>
        <w:rPr>
          <w:b/>
          <w:bCs/>
        </w:rPr>
        <w:t xml:space="preserve">Figure 5.</w:t>
      </w:r>
      <w:r>
        <w:t xml:space="preserve"> </w:t>
      </w:r>
      <w:r>
        <w:t xml:space="preserve">Cancer hotspot mutation analysis: delta scores and wild-type/mutant pairs for 7 epitope-altering mutations.</w:t>
      </w:r>
    </w:p>
    <w:p>
      <w:pPr>
        <w:pStyle w:val="BodyText"/>
      </w:pPr>
      <w:r>
        <w:rPr>
          <w:b/>
          <w:bCs/>
        </w:rPr>
        <w:t xml:space="preserve">Figure 6.</w:t>
      </w:r>
      <w:r>
        <w:t xml:space="preserve"> </w:t>
      </w:r>
      <w:r>
        <w:t xml:space="preserve">t-SNE of the Deep FFN 45-dimensional penultimate-layer representation, coloured by binding class (SB/WB/NB).</w:t>
      </w:r>
    </w:p>
    <w:p>
      <w:pPr>
        <w:pStyle w:val="BodyText"/>
      </w:pPr>
      <w:r>
        <w:rPr>
          <w:b/>
          <w:bCs/>
        </w:rPr>
        <w:t xml:space="preserve">Figure 7.</w:t>
      </w:r>
      <w:r>
        <w:t xml:space="preserve"> </w:t>
      </w:r>
      <w:r>
        <w:t xml:space="preserve">ESM-2 embedding comparison across five encoding strategies.</w:t>
      </w:r>
    </w:p>
    <w:p>
      <w:pPr>
        <w:pStyle w:val="BodyText"/>
      </w:pPr>
      <w:r>
        <w:rPr>
          <w:b/>
          <w:bCs/>
        </w:rPr>
        <w:t xml:space="preserve">Figure 8.</w:t>
      </w:r>
      <w:r>
        <w:t xml:space="preserve"> </w:t>
      </w:r>
      <w:r>
        <w:t xml:space="preserve">Rebalanced pan model non-canonical sensitivity (5-seed mean ± SD) across five common HLA-I alleles. Per-allele values are tabulated in Table 6 rather than overlaid, as the per-allele benchmark (n=25 broad-motif) is not directly comparable to the large non-canonical set.</w:t>
      </w:r>
    </w:p>
    <w:p>
      <w:pPr>
        <w:pStyle w:val="BodyText"/>
      </w:pPr>
      <w:r>
        <w:rPr>
          <w:b/>
          <w:bCs/>
        </w:rPr>
        <w:t xml:space="preserve">Figure 9.</w:t>
      </w:r>
      <w:r>
        <w:t xml:space="preserve"> </w:t>
      </w:r>
      <w:r>
        <w:t xml:space="preserve">Predictor plateau: canonical versus Type B (non-canonical) sensitivity for Deep FFN, MHCflurry, MUNIS, and BigMHC (sequence); dashed line marks the ~0.65 Type B plateau.</w:t>
      </w:r>
    </w:p>
    <w:p>
      <w:pPr>
        <w:pStyle w:val="BodyText"/>
      </w:pPr>
      <w:r>
        <w:rPr>
          <w:b/>
          <w:bCs/>
        </w:rPr>
        <w:t xml:space="preserve">Figure 10.</w:t>
      </w:r>
      <w:r>
        <w:t xml:space="preserve"> </w:t>
      </w:r>
      <w:r>
        <w:t xml:space="preserve">Pan16: per-allele non-canonical sensitivity for the 15-allele panel, sorted ascending; dashed line marks the pooled 0.819.</w:t>
      </w:r>
    </w:p>
    <w:p>
      <w:pPr>
        <w:pStyle w:val="BodyText"/>
      </w:pPr>
      <w:r>
        <w:rPr>
          <w:b/>
          <w:bCs/>
        </w:rPr>
        <w:t xml:space="preserve">Figure 11.</w:t>
      </w:r>
      <w:r>
        <w:t xml:space="preserve"> </w:t>
      </w:r>
      <w:r>
        <w:t xml:space="preserve">Temporal holdout: non-canonical sensitivity at threshold 0.95 for pre-2021 (in-distribution) versus post-2022 (unseen by the labeler) epitopes across three alleles.</w:t>
      </w:r>
    </w:p>
    <w:bookmarkEnd w:id="42"/>
    <w:bookmarkStart w:id="43" w:name="data-and-code-availability"/>
    <w:p>
      <w:pPr>
        <w:pStyle w:val="Heading2"/>
      </w:pPr>
      <w:r>
        <w:t xml:space="preserve">Data and code availability</w:t>
      </w:r>
    </w:p>
    <w:p>
      <w:pPr>
        <w:pStyle w:val="FirstParagraph"/>
      </w:pPr>
      <w:r>
        <w:t xml:space="preserve">All code, trained models (per-allele</w:t>
      </w:r>
      <w:r>
        <w:t xml:space="preserve"> </w:t>
      </w:r>
      <w:r>
        <w:rPr>
          <w:rStyle w:val="VerbatimChar"/>
        </w:rPr>
        <w:t xml:space="preserve">deep_ffn_HLA-A_*.keras</w:t>
      </w:r>
      <w:r>
        <w:t xml:space="preserve"> </w:t>
      </w:r>
      <w:r>
        <w:t xml:space="preserve">and pan</w:t>
      </w:r>
      <w:r>
        <w:t xml:space="preserve"> </w:t>
      </w:r>
      <w:r>
        <w:rPr>
          <w:rStyle w:val="VerbatimChar"/>
        </w:rPr>
        <w:t xml:space="preserve">deep_ffn_pan_seed*.keras</w:t>
      </w:r>
      <w:r>
        <w:t xml:space="preserve">/</w:t>
      </w:r>
      <w:r>
        <w:rPr>
          <w:rStyle w:val="VerbatimChar"/>
        </w:rPr>
        <w:t xml:space="preserve">deep_ffn_pan16.keras</w:t>
      </w:r>
      <w:r>
        <w:t xml:space="preserve">), feature matrices, prediction results, the curated multi-allele dataset (</w:t>
      </w:r>
      <w:r>
        <w:rPr>
          <w:rStyle w:val="VerbatimChar"/>
        </w:rPr>
        <w:t xml:space="preserve">type_ab_dataset.json</w:t>
      </w:r>
      <w:r>
        <w:t xml:space="preserve">, 14,488 positives), and the experimental-label benchmark (</w:t>
      </w:r>
      <w:r>
        <w:rPr>
          <w:rStyle w:val="VerbatimChar"/>
        </w:rPr>
        <w:t xml:space="preserve">experimental_label_scores.json</w:t>
      </w:r>
      <w:r>
        <w:t xml:space="preserve">: 6,524 peptides — 3,438 binders with measured IC50 &lt;500 nM and 3,086 non-binders with IC50 &gt;5,000 nM) are available at github.com/woodhaha/peptide-mhc-benchmark. The per-allele Deep FFN is distributed as the</w:t>
      </w:r>
      <w:r>
        <w:t xml:space="preserve"> </w:t>
      </w:r>
      <w:r>
        <w:rPr>
          <w:rStyle w:val="VerbatimChar"/>
        </w:rPr>
        <w:t xml:space="preserve">pmhcbenchmark</w:t>
      </w:r>
      <w:r>
        <w:t xml:space="preserve"> </w:t>
      </w:r>
      <w:r>
        <w:t xml:space="preserve">Python package, with a</w:t>
      </w:r>
      <w:r>
        <w:t xml:space="preserve"> </w:t>
      </w:r>
      <w:r>
        <w:rPr>
          <w:rStyle w:val="VerbatimChar"/>
        </w:rPr>
        <w:t xml:space="preserve">pmhc-predict</w:t>
      </w:r>
      <w:r>
        <w:t xml:space="preserve"> </w:t>
      </w:r>
      <w:r>
        <w:t xml:space="preserve">command-line tool and a standalone Windows GUI (</w:t>
      </w:r>
      <w:r>
        <w:rPr>
          <w:rStyle w:val="VerbatimChar"/>
        </w:rPr>
        <w:t xml:space="preserve">pmhc_predict.exe</w:t>
      </w:r>
      <w:r>
        <w:t xml:space="preserve">); exported weights (</w:t>
      </w:r>
      <w:r>
        <w:rPr>
          <w:rStyle w:val="VerbatimChar"/>
        </w:rPr>
        <w:t xml:space="preserve">pmhc_models.npz</w:t>
      </w:r>
      <w:r>
        <w:t xml:space="preserve">) enable tensorflow-free inference. The single-allele benchmark-hygiene analysis and the multi-allele pan-vs-per-allele benchmark (§3.5–3.11) together constitute the complete study. A reusable benchmark-hygiene checker (</w:t>
      </w:r>
      <w:r>
        <w:rPr>
          <w:rStyle w:val="VerbatimChar"/>
        </w:rPr>
        <w:t xml:space="preserve">peptide_audit.py</w:t>
      </w:r>
      <w:r>
        <w:t xml:space="preserve"> </w:t>
      </w:r>
      <w:r>
        <w:t xml:space="preserve">with</w:t>
      </w:r>
      <w:r>
        <w:t xml:space="preserve"> </w:t>
      </w:r>
      <w:r>
        <w:rPr>
          <w:rStyle w:val="VerbatimChar"/>
        </w:rPr>
        <w:t xml:space="preserve">audit_config.json</w:t>
      </w:r>
      <w:r>
        <w:t xml:space="preserve">) automates the reference-order, factual-tripwire, and figure-inventory consistency checks used in this audit, so others can apply the Box 1 checklist to their own benchmarks.</w:t>
      </w:r>
    </w:p>
    <w:bookmarkEnd w:id="43"/>
    <w:bookmarkStart w:id="44" w:name="author-contributions"/>
    <w:p>
      <w:pPr>
        <w:pStyle w:val="Heading2"/>
      </w:pPr>
      <w:r>
        <w:t xml:space="preserve">Author contributions</w:t>
      </w:r>
    </w:p>
    <w:p>
      <w:pPr>
        <w:pStyle w:val="FirstParagraph"/>
      </w:pPr>
      <w:r>
        <w:t xml:space="preserve">Conceptualization: Yunshi Huang, Weisheng Chen, Zhuha Zhou. Methodology: Yunshi Huang, Weisheng Chen. Formal analysis: Yunshi Huang, Weisheng Chen, Yiqi Cai. Investigation: Yunshi Huang, Weisheng Chen, Yiqi Cai. Validation: Xiaopeng Zhuang, Zhuxian Zhou. Writing – original draft: Yunshi Huang, Weisheng Chen, Yiqi Cai. Writing – review &amp; editing: Xiaopeng Zhuang, Zhuxian Zhou, Xiangyang Xue, Zhuha Zhou. Supervision: Xiangyang Xue, Zhuha Zhou.</w:t>
      </w:r>
    </w:p>
    <w:bookmarkEnd w:id="44"/>
    <w:bookmarkStart w:id="45" w:name="competing-interests"/>
    <w:p>
      <w:pPr>
        <w:pStyle w:val="Heading2"/>
      </w:pPr>
      <w:r>
        <w:t xml:space="preserve">Competing interests</w:t>
      </w:r>
    </w:p>
    <w:p>
      <w:pPr>
        <w:pStyle w:val="FirstParagraph"/>
      </w:pPr>
      <w:r>
        <w:t xml:space="preserve">The authors declare no competing interests.</w:t>
      </w:r>
    </w:p>
    <w:bookmarkEnd w:id="45"/>
    <w:bookmarkStart w:id="46" w:name="funding"/>
    <w:p>
      <w:pPr>
        <w:pStyle w:val="Heading2"/>
      </w:pPr>
      <w:r>
        <w:t xml:space="preserve">Funding</w:t>
      </w:r>
    </w:p>
    <w:p>
      <w:pPr>
        <w:pStyle w:val="FirstParagraph"/>
      </w:pPr>
      <w:r>
        <w:t xml:space="preserve">This research did not receive specific grant funding.</w:t>
      </w:r>
    </w:p>
    <w:bookmarkEnd w:id="46"/>
    <w:bookmarkStart w:id="47" w:name="ethics-statement"/>
    <w:p>
      <w:pPr>
        <w:pStyle w:val="Heading2"/>
      </w:pPr>
      <w:r>
        <w:t xml:space="preserve">Ethics statement</w:t>
      </w:r>
    </w:p>
    <w:p>
      <w:pPr>
        <w:pStyle w:val="FirstParagraph"/>
      </w:pPr>
      <w:r>
        <w:t xml:space="preserve">This study used only publicly available, de-identified data from the Immune Epitope Database (IEDB) and public protein databases; no human subjects, animals, or patient-derived samples were involved, and no ethics approval or informed consent was required.</w:t>
      </w:r>
    </w:p>
    <w:bookmarkEnd w:id="47"/>
    <w:bookmarkStart w:id="48" w:name="ai-use-disclosure"/>
    <w:p>
      <w:pPr>
        <w:pStyle w:val="Heading2"/>
      </w:pPr>
      <w:r>
        <w:t xml:space="preserve">AI use disclosure</w:t>
      </w:r>
    </w:p>
    <w:p>
      <w:pPr>
        <w:pStyle w:val="FirstParagraph"/>
      </w:pPr>
      <w:r>
        <w:t xml:space="preserve">AI-assisted tools (Claude Code, Anthropic) were used for code development and manuscript editing. All scientific content, interpretations, and conclusions were authored and approved by the human authors, who take full responsibility for the manuscript’s content. No AI tools were listed as authors.</w:t>
      </w:r>
    </w:p>
    <w:bookmarkEnd w:id="48"/>
    <w:bookmarkStart w:id="49" w:name="references"/>
    <w:p>
      <w:pPr>
        <w:pStyle w:val="Heading2"/>
      </w:pPr>
      <w:r>
        <w:t xml:space="preserve">References</w:t>
      </w:r>
    </w:p>
    <w:p>
      <w:pPr>
        <w:pStyle w:val="Compact"/>
        <w:numPr>
          <w:ilvl w:val="0"/>
          <w:numId w:val="1001"/>
        </w:numPr>
      </w:pPr>
      <w:r>
        <w:t xml:space="preserve">Falk K, Rotzschke O, Stevanovic S, et al. Allele-specific motifs revealed by sequencing of self-peptides eluted from MHC molecules. Nature 1991;351:290-296.</w:t>
      </w:r>
    </w:p>
    <w:p>
      <w:pPr>
        <w:pStyle w:val="Compact"/>
        <w:numPr>
          <w:ilvl w:val="0"/>
          <w:numId w:val="1001"/>
        </w:numPr>
      </w:pPr>
      <w:r>
        <w:t xml:space="preserve">Lundegaard C, Lund O, Nielsen M. State of the art and challenges in sequence based T-cell epitope prediction. Immunome Res 2011;6(Suppl 2):S3.</w:t>
      </w:r>
    </w:p>
    <w:p>
      <w:pPr>
        <w:pStyle w:val="Compact"/>
        <w:numPr>
          <w:ilvl w:val="0"/>
          <w:numId w:val="1001"/>
        </w:numPr>
      </w:pPr>
      <w:r>
        <w:t xml:space="preserve">Ruppert J, Sidney J, Celis E, et al. Prominent role of secondary anchor residues in peptide binding to HLA-A2.1 molecules. Cell 1993;74:929-937.</w:t>
      </w:r>
    </w:p>
    <w:p>
      <w:pPr>
        <w:pStyle w:val="Compact"/>
        <w:numPr>
          <w:ilvl w:val="0"/>
          <w:numId w:val="1001"/>
        </w:numPr>
      </w:pPr>
      <w:r>
        <w:t xml:space="preserve">Rammensee HG, Friede T, Stevanovic S. MHC ligands and peptide motifs: first listing. Immunogenetics 1995;41:178-228.</w:t>
      </w:r>
    </w:p>
    <w:p>
      <w:pPr>
        <w:pStyle w:val="Compact"/>
        <w:numPr>
          <w:ilvl w:val="0"/>
          <w:numId w:val="1001"/>
        </w:numPr>
      </w:pPr>
      <w:r>
        <w:t xml:space="preserve">Reynisson B, Alvarez B, Paul S, et al. NetMHCpan-4.1 and NetMHCIIpan-4.0: improved predictions of MHC antigen presentation by concurrent motif deconvolution and integration of MS MHC eluted ligand data. Nucleic Acids Res 2020;48:W449-W454.</w:t>
      </w:r>
    </w:p>
    <w:p>
      <w:pPr>
        <w:pStyle w:val="Compact"/>
        <w:numPr>
          <w:ilvl w:val="0"/>
          <w:numId w:val="1001"/>
        </w:numPr>
      </w:pPr>
      <w:r>
        <w:t xml:space="preserve">O’Donnell TJ, Rubinsteyn A, Laserson U. MHCflurry 2.0: improved pan-allele prediction of MHC class I-presented peptides by incorporating antigen processing. Cell Syst 2020;11:42-48.</w:t>
      </w:r>
    </w:p>
    <w:p>
      <w:pPr>
        <w:pStyle w:val="Compact"/>
        <w:numPr>
          <w:ilvl w:val="0"/>
          <w:numId w:val="1001"/>
        </w:numPr>
      </w:pPr>
      <w:r>
        <w:t xml:space="preserve">Albert BA, Yang Y, Shao XM, et al. Deep neural networks predict class I major histocompatibility complex epitope presentation and transfer learn neoepitope immunogenicity. Nat Mach Intell 2023;5:861-872.</w:t>
      </w:r>
    </w:p>
    <w:p>
      <w:pPr>
        <w:pStyle w:val="Compact"/>
        <w:numPr>
          <w:ilvl w:val="0"/>
          <w:numId w:val="1001"/>
        </w:numPr>
      </w:pPr>
      <w:r>
        <w:t xml:space="preserve">Wohlwend J, Nathan A, Barzilay R, et al. Deep learning enhances the prediction of HLA class I-presented CD8+ T cell epitopes in foreign pathogens. Nat Mach Intell 2025. doi:10.1038/s42256-024-00971-y.</w:t>
      </w:r>
    </w:p>
    <w:p>
      <w:pPr>
        <w:pStyle w:val="Compact"/>
        <w:numPr>
          <w:ilvl w:val="0"/>
          <w:numId w:val="1001"/>
        </w:numPr>
      </w:pPr>
      <w:r>
        <w:t xml:space="preserve">Rives A, Meier J, Sercu T, et al. Biological structure and function emerge from scaling unsupervised learning to 250 million protein sequences. Proc Natl Acad Sci USA 2021;118:e2016239118.</w:t>
      </w:r>
    </w:p>
    <w:p>
      <w:pPr>
        <w:pStyle w:val="Compact"/>
        <w:numPr>
          <w:ilvl w:val="0"/>
          <w:numId w:val="1001"/>
        </w:numPr>
      </w:pPr>
      <w:r>
        <w:t xml:space="preserve">Preibisch G, Tyrolski M, Kucharski P, et al. Resolution of recursive data corruption to transform T-cell epitope discovery. bioRxiv 2026.</w:t>
      </w:r>
    </w:p>
    <w:p>
      <w:pPr>
        <w:pStyle w:val="Compact"/>
        <w:numPr>
          <w:ilvl w:val="0"/>
          <w:numId w:val="1001"/>
        </w:numPr>
      </w:pPr>
      <w:r>
        <w:t xml:space="preserve">Henikoff S, Henikoff JG. Amino acid substitution matrices from protein blocks. Proc Natl Acad Sci USA 1992;89:10915-10919.</w:t>
      </w:r>
    </w:p>
    <w:p>
      <w:pPr>
        <w:pStyle w:val="Compact"/>
        <w:numPr>
          <w:ilvl w:val="0"/>
          <w:numId w:val="1001"/>
        </w:numPr>
      </w:pPr>
      <w:r>
        <w:t xml:space="preserve">Lin Z, Akin H, Rao R, et al. Evolutionary-scale prediction of atomic-level protein structure with a language model. Science 2023;379:1123-1130.</w:t>
      </w:r>
    </w:p>
    <w:p>
      <w:pPr>
        <w:pStyle w:val="Compact"/>
        <w:numPr>
          <w:ilvl w:val="0"/>
          <w:numId w:val="1001"/>
        </w:numPr>
      </w:pPr>
      <w:r>
        <w:t xml:space="preserve">Nielsen M, Lundegaard C, Worning P, et al. Reliable prediction of T-cell epitopes using neural networks with novel sequence representations. Protein Sci 2003;12:1007-1017.</w:t>
      </w:r>
    </w:p>
    <w:p>
      <w:pPr>
        <w:pStyle w:val="Compact"/>
        <w:numPr>
          <w:ilvl w:val="0"/>
          <w:numId w:val="1001"/>
        </w:numPr>
      </w:pPr>
      <w:r>
        <w:t xml:space="preserve">Vita R, Mahajan S, Overton JA, et al. The Immune Epitope Database (IEDB): 2018 update. Nucleic Acids Res 2019;47:D339-D343.</w:t>
      </w:r>
    </w:p>
    <w:p>
      <w:pPr>
        <w:pStyle w:val="Compact"/>
        <w:numPr>
          <w:ilvl w:val="0"/>
          <w:numId w:val="1001"/>
        </w:numPr>
      </w:pPr>
      <w:r>
        <w:t xml:space="preserve">Malekzadeh P, Yossef R, Cafri G, et al. Antigen experienced T cells from peripheral blood recognize p53 neoantigens. Clin Cancer Res 2020. doi:10.1158/1078-0432.CCR-19-1874.</w:t>
      </w:r>
    </w:p>
    <w:p>
      <w:pPr>
        <w:pStyle w:val="Compact"/>
        <w:numPr>
          <w:ilvl w:val="0"/>
          <w:numId w:val="1001"/>
        </w:numPr>
      </w:pPr>
      <w:r>
        <w:t xml:space="preserve">Quandt J, Schlude C, Bartoschek M, et al. Long-peptide vaccination with driver gene mutations in p53 and Kras induces cancer mutation-specific effector as well as regulatory T cell responses. Oncoimmunology 2018;7:e1500671.</w:t>
      </w:r>
    </w:p>
    <w:p>
      <w:pPr>
        <w:pStyle w:val="Compact"/>
        <w:numPr>
          <w:ilvl w:val="0"/>
          <w:numId w:val="1001"/>
        </w:numPr>
      </w:pPr>
      <w:r>
        <w:t xml:space="preserve">Wu W, Chen Y, Huang L, et al. Point mutation screening of tumor neoantigens and peptide-induced specific cytotoxic T lymphocytes using The Cancer Genome Atlas database. Oncol Lett 2020;20:11986.</w:t>
      </w:r>
    </w:p>
    <w:p>
      <w:pPr>
        <w:pStyle w:val="Compact"/>
        <w:numPr>
          <w:ilvl w:val="0"/>
          <w:numId w:val="1001"/>
        </w:numPr>
      </w:pPr>
      <w:r>
        <w:t xml:space="preserve">Hermann L, Fiedler T, Nguyen HA, et al. Beware of data leakage from protein LLM pretraining. Proc Mach Learn Res 2024;261:106-116.</w:t>
      </w:r>
    </w:p>
    <w:p>
      <w:pPr>
        <w:pStyle w:val="Compact"/>
        <w:numPr>
          <w:ilvl w:val="0"/>
          <w:numId w:val="1001"/>
        </w:numPr>
      </w:pPr>
      <w:r>
        <w:t xml:space="preserve">Kapoor S, Narayanan A. Leakage and the reproducibility crisis in machine-learning-based science. Patterns 2023;4:100804.</w:t>
      </w:r>
    </w:p>
    <w:p>
      <w:pPr>
        <w:pStyle w:val="Compact"/>
        <w:numPr>
          <w:ilvl w:val="0"/>
          <w:numId w:val="1001"/>
        </w:numPr>
      </w:pPr>
      <w:r>
        <w:t xml:space="preserve">Bernett J, Blumenthal DB, Grimm DG, et al. Guiding questions to avoid data leakage in biological machine learning applications. Nat Methods 2024. doi:10.1038/s41592-024-02362-y.</w:t>
      </w:r>
    </w:p>
    <w:p>
      <w:pPr>
        <w:pStyle w:val="Compact"/>
        <w:numPr>
          <w:ilvl w:val="0"/>
          <w:numId w:val="1001"/>
        </w:numPr>
      </w:pPr>
      <w:r>
        <w:t xml:space="preserve">Collins GS, Moons KGM, Dhiman P, et al. TRIPOD+AI statement: updated guidance for reporting clinical prediction models that use regression or machine learning methods. BMJ 2024;385:e078378.</w:t>
      </w:r>
    </w:p>
    <w:p>
      <w:pPr>
        <w:pStyle w:val="Compact"/>
        <w:numPr>
          <w:ilvl w:val="0"/>
          <w:numId w:val="1001"/>
        </w:numPr>
      </w:pPr>
      <w:r>
        <w:t xml:space="preserve">Schuh MG, Daniluk A, Sieber SA. Auditing widely used biomolecular benchmarks reveals systematic data inconsistencies. Chem Sci 2026;17:17455-17467.</w:t>
      </w:r>
    </w:p>
    <w:p>
      <w:pPr>
        <w:pStyle w:val="Compact"/>
        <w:numPr>
          <w:ilvl w:val="0"/>
          <w:numId w:val="1001"/>
        </w:numPr>
      </w:pPr>
      <w:r>
        <w:t xml:space="preserve">Mares SE, Espinoza Weinberger A, Ioannidis NM. Continued domain-specific pre-training of protein language models for pMHC-I binding prediction. Proc Mach Learn Res 2025;311:304-325.</w:t>
      </w:r>
    </w:p>
    <w:p>
      <w:pPr>
        <w:pStyle w:val="Compact"/>
        <w:numPr>
          <w:ilvl w:val="0"/>
          <w:numId w:val="1001"/>
        </w:numPr>
      </w:pPr>
      <w:r>
        <w:t xml:space="preserve">Sarkizova S, Klaeger S, Le PM, et al. A large peptidome dataset improves HLA class I epitope prediction across most of the human population. Nat Biotechnol 2020;38:199-209.</w:t>
      </w:r>
    </w:p>
    <w:p>
      <w:pPr>
        <w:pStyle w:val="Compact"/>
        <w:numPr>
          <w:ilvl w:val="0"/>
          <w:numId w:val="1001"/>
        </w:numPr>
      </w:pPr>
      <w:r>
        <w:t xml:space="preserve">Tadros DM, Racle J, Gfeller D. Predicting MHC-I ligands across alleles and species: how far can we go? Genome Med 2025. doi:10.1186/s13073-025-01450-8.</w:t>
      </w:r>
    </w:p>
    <w:p>
      <w:pPr>
        <w:pStyle w:val="Compact"/>
        <w:numPr>
          <w:ilvl w:val="0"/>
          <w:numId w:val="1001"/>
        </w:numPr>
      </w:pPr>
      <w:r>
        <w:t xml:space="preserve">Vo TH, McNeela E, O’Donovan O, et al. Artificial intelligence and the evolving landscape of immunopeptidomics. Proteomics Clin Appl 2025. doi:10.1002/prca.70018.</w:t>
      </w:r>
    </w:p>
    <w:p>
      <w:pPr>
        <w:pStyle w:val="Compact"/>
        <w:numPr>
          <w:ilvl w:val="0"/>
          <w:numId w:val="1001"/>
        </w:numPr>
      </w:pPr>
      <w:r>
        <w:t xml:space="preserve">Xu H, Ni Y, Chai Z, Cui X, Lei X, Liu L, Shan J, Qian C. TransBindpMHCI: a transformer-based model for pan-specific MHC-I peptide binding prediction. BMC Bioinformatics 2026;27:117.</w:t>
      </w:r>
    </w:p>
    <w:p>
      <w:pPr>
        <w:pStyle w:val="Compact"/>
        <w:numPr>
          <w:ilvl w:val="0"/>
          <w:numId w:val="1001"/>
        </w:numPr>
      </w:pPr>
      <w:r>
        <w:t xml:space="preserve">Cheng X, Mei H, Chen P, Wu H, Liu R, Lei Y, Wang P. ESMpHLA: evolutionary scale model-based deep learning prediction of HLA class I binding peptides. HLA 2025;105:e70263.</w:t>
      </w:r>
    </w:p>
    <w:p>
      <w:pPr>
        <w:pStyle w:val="Compact"/>
        <w:numPr>
          <w:ilvl w:val="0"/>
          <w:numId w:val="1001"/>
        </w:numPr>
      </w:pPr>
      <w:r>
        <w:t xml:space="preserve">Harndahl M, Rasmussen M, Roder G, et al. Peptide-MHC class I stability is a better predictor than peptide affinity of CTL immunogenicity. Eur J Immunol 2012;42:1405-1416.</w:t>
      </w:r>
    </w:p>
    <w:p>
      <w:pPr>
        <w:pStyle w:val="Compact"/>
        <w:numPr>
          <w:ilvl w:val="0"/>
          <w:numId w:val="1001"/>
        </w:numPr>
      </w:pPr>
      <w:r>
        <w:t xml:space="preserve">Backert L, Kohlbacher O. Immunoinformatics and epitope prediction in the age of genomic medicine. Genome Med 2015;7:119.</w:t>
      </w:r>
    </w:p>
    <w:p>
      <w:pPr>
        <w:pStyle w:val="Compact"/>
        <w:numPr>
          <w:ilvl w:val="0"/>
          <w:numId w:val="1001"/>
        </w:numPr>
      </w:pPr>
      <w:r>
        <w:t xml:space="preserve">Jappe EC, Garde C, Ramarathinam SH, et al. Thermostability profiling of MHC-bound peptides: a new dimension in immunopeptidomics and aid for immunotherapy design. Nat Commun 2020. doi:10.1038/s41467-020-20166-4.</w:t>
      </w:r>
    </w:p>
    <w:p>
      <w:pPr>
        <w:pStyle w:val="Compact"/>
        <w:numPr>
          <w:ilvl w:val="0"/>
          <w:numId w:val="1001"/>
        </w:numPr>
      </w:pPr>
      <w:r>
        <w:t xml:space="preserve">Fasoulis R, Rigo MM, Antunes DA, et al. Transfer learning improves pMHC kinetic stability and immunogenicity predictions. ImmunoInformatics 2024. doi:10.1016/j.immuno.2023.100030.</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2026-10-23T07:39:08Z</dcterms:created>
  <dcterms:modified xsi:type="dcterms:W3CDTF">2026-10-23T07:39:08Z</dcterms:modified>
</cp:coreProperties>
</file>

<file path=docProps/custom.xml><?xml version="1.0" encoding="utf-8"?>
<Properties xmlns="http://schemas.openxmlformats.org/officeDocument/2006/custom-properties" xmlns:vt="http://schemas.openxmlformats.org/officeDocument/2006/docPropsVTypes"/>
</file>