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8cf874e454edd95b02d3cff2a9765a1a7cd310"/>
    <w:p>
      <w:pPr>
        <w:pStyle w:val="Heading1"/>
      </w:pPr>
      <w:r>
        <w:t xml:space="preserve">Deep Learning Architectures for Peptide-MHC Class I Binding Prediction: A Systematic Benchmark, Label Quality Analysis, and Epitope Discovery Pipeline</w:t>
      </w:r>
    </w:p>
    <w:p>
      <w:pPr>
        <w:pStyle w:val="FirstParagraph"/>
      </w:pPr>
      <w:r>
        <w:rPr>
          <w:b/>
          <w:bCs/>
        </w:rPr>
        <w:t xml:space="preserve">Running head</w:t>
      </w:r>
      <w:r>
        <w:t xml:space="preserve">: Deep Learning for Peptide-MHC Binding Prediction</w:t>
      </w:r>
    </w:p>
    <w:p>
      <w:pPr>
        <w:pStyle w:val="BodyText"/>
      </w:pPr>
      <w:r>
        <w:rPr>
          <w:b/>
          <w:bCs/>
        </w:rPr>
        <w:t xml:space="preserve">Authors</w:t>
      </w:r>
      <w:r>
        <w:t xml:space="preserve">: Zhuha Zhou</w:t>
      </w:r>
      <w:r>
        <w:t xml:space="preserve">1,([Dagger])</w:t>
      </w:r>
      <w:r>
        <w:t xml:space="preserve">, Yongyu Bai</w:t>
      </w:r>
      <w:r>
        <w:t xml:space="preserve">1,([Dagger])</w:t>
      </w:r>
      <w:r>
        <w:t xml:space="preserve">, Qigang Xue</w:t>
      </w:r>
      <w:r>
        <w:t xml:space="preserve">2</w:t>
      </w:r>
      <w:r>
        <w:t xml:space="preserve">, Zhuxian Zhou</w:t>
      </w:r>
      <w:r>
        <w:t xml:space="preserve">3</w:t>
      </w:r>
      <w:r>
        <w:t xml:space="preserve">, Shaoliang Han</w:t>
      </w:r>
      <w:r>
        <w:t xml:space="preserve">1,*</w:t>
      </w:r>
    </w:p>
    <w:p>
      <w:pPr>
        <w:pStyle w:val="BodyText"/>
      </w:pPr>
      <w:r>
        <w:rPr>
          <w:b/>
          <w:bCs/>
        </w:rPr>
        <w:t xml:space="preserve">Affiliations</w:t>
      </w:r>
      <w:r>
        <w:t xml:space="preserve">:</w:t>
      </w:r>
      <w:r>
        <w:br/>
      </w:r>
      <w:r>
        <w:t xml:space="preserve">1</w:t>
      </w:r>
      <w:r>
        <w:t xml:space="preserve"> </w:t>
      </w:r>
      <w:r>
        <w:t xml:space="preserve">Department of Gastroenterology Surgery, The First Affiliated Hospital of Wenzhou Medical University, Nanbaixiang Street, Ouhai District, 325000 Wenzhou, Zhejiang, China</w:t>
      </w:r>
      <w:r>
        <w:br/>
      </w:r>
      <w:r>
        <w:t xml:space="preserve">2</w:t>
      </w:r>
      <w:r>
        <w:t xml:space="preserve"> </w:t>
      </w:r>
      <w:r>
        <w:t xml:space="preserve">Department of Hepatobiliary and Pancreatic Surgery, The First Affiliated Hospital of Wenzhou Medical University, Nanbaixiang Street, Ouhai District, 325000 Wenzhou, Zhejiang, China</w:t>
      </w:r>
      <w:r>
        <w:br/>
      </w:r>
      <w:r>
        <w:t xml:space="preserve">3</w:t>
      </w:r>
      <w:r>
        <w:t xml:space="preserve"> </w:t>
      </w:r>
      <w:r>
        <w:t xml:space="preserve">Center for Bionanoengineering, College of Chemical and Biological Engineering, Zhejiang University, Hangzhou 310027, China</w:t>
      </w:r>
    </w:p>
    <w:p>
      <w:pPr>
        <w:pStyle w:val="BodyText"/>
      </w:pPr>
      <w:r>
        <w:t xml:space="preserve">([Dagger])</w:t>
      </w:r>
      <w:r>
        <w:t xml:space="preserve"> </w:t>
      </w:r>
      <w:r>
        <w:t xml:space="preserve">These authors contributed equally to this work.</w:t>
      </w:r>
      <w:r>
        <w:br/>
      </w:r>
      <w:r>
        <w:t xml:space="preserve">*</w:t>
      </w:r>
      <w:r>
        <w:t xml:space="preserve"> </w:t>
      </w:r>
      <w:r>
        <w:t xml:space="preserve">Corresponding author: Shaoliang Han, Department of Gastroenterology Surgery, The First Affiliated Hospital of Wenzhou Medical University, Nanbaixiang Street, Ouhai District, 325000 Wenzhou, Zhejiang, China. E-mail: zhouzhuha@wmu.edu.cn</w:t>
      </w:r>
    </w:p>
    <w:p>
      <w:pPr>
        <w:pStyle w:val="BodyText"/>
      </w:pPr>
      <w:r>
        <w:rPr>
          <w:b/>
          <w:bCs/>
        </w:rPr>
        <w:t xml:space="preserve">Word count</w:t>
      </w:r>
      <w:r>
        <w:t xml:space="preserve">: ~7,500 (main text) |</w:t>
      </w:r>
      <w:r>
        <w:t xml:space="preserve"> </w:t>
      </w:r>
      <w:r>
        <w:rPr>
          <w:b/>
          <w:bCs/>
        </w:rPr>
        <w:t xml:space="preserve">Tables</w:t>
      </w:r>
      <w:r>
        <w:t xml:space="preserve">: 6 |</w:t>
      </w:r>
      <w:r>
        <w:t xml:space="preserve"> </w:t>
      </w:r>
      <w:r>
        <w:rPr>
          <w:b/>
          <w:bCs/>
        </w:rPr>
        <w:t xml:space="preserve">Figures</w:t>
      </w:r>
      <w:r>
        <w:t xml:space="preserve">: 11</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Computational prediction of peptide binding to major histocompatibility complex class I (MHC-I) molecules enables epitope discovery for vaccine design and cancer immunotherapy. While deep learning methods have achieved high accuracy, systematic architecture comparison under controlled conditions and quantification of training label quality effects remain limited.</w:t>
      </w:r>
      <w:r>
        <w:t xml:space="preserve"> </w:t>
      </w:r>
      <w:r>
        <w:rPr>
          <w:b/>
          <w:bCs/>
        </w:rPr>
        <w:t xml:space="preserve">Methods</w:t>
      </w:r>
      <w:r>
        <w:t xml:space="preserve">: Six classifier architectures – Feed-Forward Neural Network (FFN), Deep FFN, Convolutional Neural Network (CNN), Long Short-Term Memory (LSTM), ResNet-style residual network, and Random Forest – were benchmarked on 5,088 MHCflurry 2.2.0-labeled 9-mer peptides targeting HLA-A*02:01, with external validation against 49 experimentally validated IEDB epitopes. The best model was applied to epitope scanning of 10 therapeutically relevant proteins and cancer hotspot mutation analysis (p53, KRAS).</w:t>
      </w:r>
      <w:r>
        <w:t xml:space="preserve"> </w:t>
      </w:r>
      <w:r>
        <w:rPr>
          <w:b/>
          <w:bCs/>
        </w:rPr>
        <w:t xml:space="preserve">Results</w:t>
      </w:r>
      <w:r>
        <w:t xml:space="preserve">: Deep FFN with batch normalization achieved 91.9% accuracy (macro F1 0.921, 5-fold CV 89.6% +/- 0.8%), outperforming CNN (90.0%), ResNet (84.3%), LSTM (83.3%), and Random Forest (81.1%). Label quality proved dominant: PSSM labels yielded 94.8% while MHCflurry labels yielded 91.9%, with the gap concentrated in the weak binder class (F1: 0.925 vs. 0.880). IEDB benchmarking achieved 93.9% sensitivity (46/49), ROC AUC 0.947. Protein scanning confirmed 10/11 known epitopes. Mutation analysis identified neoepitope-creating events in p53 R248W and KRAS G12V.</w:t>
      </w:r>
      <w:r>
        <w:t xml:space="preserve"> </w:t>
      </w:r>
      <w:r>
        <w:rPr>
          <w:b/>
          <w:bCs/>
        </w:rPr>
        <w:t xml:space="preserve">Conclusions</w:t>
      </w:r>
      <w:r>
        <w:t xml:space="preserve">: Architectural depth with batch normalization outperforms complexity for positional binding prediction. Label quality, not architecture, defines the performance ceiling. The Deep FFN model and reproducible pipeline enable practical computational epitope discovery.</w:t>
      </w:r>
    </w:p>
    <w:p>
      <w:pPr>
        <w:pStyle w:val="BodyText"/>
      </w:pPr>
      <w:r>
        <w:rPr>
          <w:b/>
          <w:bCs/>
        </w:rPr>
        <w:t xml:space="preserve">Keywords</w:t>
      </w:r>
      <w:r>
        <w:t xml:space="preserve">: peptide-MHC binding, epitope prediction, deep learning, HLA-A*02:01, neoantigen, cancer immunotherapy, immunoinformatics</w:t>
      </w:r>
    </w:p>
    <w:p>
      <w:r>
        <w:pict>
          <v:rect style="width:0;height:1.5pt" o:hralign="center" o:hrstd="t" o:hr="t"/>
        </w:pict>
      </w:r>
    </w:p>
    <w:bookmarkEnd w:id="9"/>
    <w:bookmarkStart w:id="10" w:name="key-points"/>
    <w:p>
      <w:pPr>
        <w:pStyle w:val="Heading2"/>
      </w:pPr>
      <w:r>
        <w:t xml:space="preserve">Key Points</w:t>
      </w:r>
    </w:p>
    <w:p>
      <w:pPr>
        <w:pStyle w:val="Compact"/>
        <w:numPr>
          <w:ilvl w:val="0"/>
          <w:numId w:val="1001"/>
        </w:numPr>
      </w:pPr>
      <w:r>
        <w:t xml:space="preserve">Six deep learning architectures were systematically benchmarked for HLA-A*02:01 peptide binding prediction; the Deep Feed-Forward Network with batch normalization achieved the highest performance (91.9% accuracy, ROC AUC 0.947).</w:t>
      </w:r>
    </w:p>
    <w:p>
      <w:pPr>
        <w:pStyle w:val="Compact"/>
        <w:numPr>
          <w:ilvl w:val="0"/>
          <w:numId w:val="1001"/>
        </w:numPr>
      </w:pPr>
      <w:r>
        <w:t xml:space="preserve">Label quality, not model architecture, defines the performance ceiling: deterministic PSSM labels inflate accuracy by ~3 percentage points relative to machine-learning-derived labels, with the weak binder class serving as the primary locus of variation.</w:t>
      </w:r>
    </w:p>
    <w:p>
      <w:pPr>
        <w:pStyle w:val="Compact"/>
        <w:numPr>
          <w:ilvl w:val="0"/>
          <w:numId w:val="1001"/>
        </w:numPr>
      </w:pPr>
      <w:r>
        <w:t xml:space="preserve">The trained model achieves 93.9% sensitivity against 49 experimentally validated IEDB epitopes and correctly identifies 10 of 11 known HLA-A*02:01 epitopes across 10 scanned proteins.</w:t>
      </w:r>
    </w:p>
    <w:p>
      <w:pPr>
        <w:pStyle w:val="Compact"/>
        <w:numPr>
          <w:ilvl w:val="0"/>
          <w:numId w:val="1001"/>
        </w:numPr>
      </w:pPr>
      <w:r>
        <w:t xml:space="preserve">Cancer hotspot mutation scanning identifies actionable neoepitope candidates: p53 R248W (</w:t>
      </w:r>
      <w:r>
        <w:rPr>
          <w:rStyle w:val="VerbatimChar"/>
        </w:rPr>
        <w:t xml:space="preserve">MNWRPILTI</w:t>
      </w:r>
      <w:r>
        <w:t xml:space="preserve">) and KRAS G12V (</w:t>
      </w:r>
      <w:r>
        <w:rPr>
          <w:rStyle w:val="VerbatimChar"/>
        </w:rPr>
        <w:t xml:space="preserve">YKLVVVGAV</w:t>
      </w:r>
      <w:r>
        <w:t xml:space="preserve">) create novel epitopes; KRAS G12C enhances an existing epitope, suggesting combination immunotherapy potential.</w:t>
      </w:r>
    </w:p>
    <w:p>
      <w:pPr>
        <w:pStyle w:val="Compact"/>
        <w:numPr>
          <w:ilvl w:val="0"/>
          <w:numId w:val="1001"/>
        </w:numPr>
      </w:pPr>
      <w:r>
        <w:t xml:space="preserve">All code, trained models, feature matrices, and prediction results are provided as an open-source reproducible pipeline.</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adaptive immune system relies on the presentation of peptide antigens by Major Histocompatibility Complex class I (MHC-I) molecules on the surface of nucleated cells. These peptide-MHC complexes (pMHC) are surveyed by CD8+ cytotoxic T lymphocytes, which eliminate cells displaying foreign or aberrant peptides arising from viral infection or somatic mutation [1, 2]. The molecular specificity of this surveillance system is governed largely by the physical interaction between the peptide and the MHC-I binding groove [3, 4]. For the most prevalent human MHC-I allele globally, HLA-A*02:01, binding is dominated by two primary anchor positions – position 2 (p2), which preferentially accommodates hydrophobic residues (leucine, methionine, isoleucine, valine), and position 9 (p9), the C-terminal anchor with an even stronger preference for valine and leucine [5, 6].</w:t>
      </w:r>
    </w:p>
    <w:p>
      <w:pPr>
        <w:pStyle w:val="BodyText"/>
      </w:pPr>
      <w:r>
        <w:t xml:space="preserve">The ability to computationally predict which peptides will bind to a given MHC allele has been a central challenge in immunoinformatics for over two decades [7, 8]. Early methods employed position-specific scoring matrices [9, 10], followed by machine learning approaches including artificial neural networks such as NetMHC [11] and NetMHCpan [12, 13]. Contemporary methods, including MHCflurry [14, 15], BigMHC [16], and MUNIS [17], increasingly leverage deep learning architectures and protein language model embeddings [18], with recent comprehensive reviews documenting the rapid proliferation of AI-driven epitope prediction tools [19, 20].</w:t>
      </w:r>
    </w:p>
    <w:p>
      <w:pPr>
        <w:pStyle w:val="BodyText"/>
      </w:pPr>
      <w:r>
        <w:t xml:space="preserve">Despite these advances, several gaps persist. First, systematic head-to-head comparisons of architecture families on identical peptide-MHC binding data remain rare – most published tools report performance against different benchmarks with different evaluation protocols [19]. Second, the impact of training label quality on downstream model performance is seldom quantified. Third, the translation of binding prediction models to real-world epitope discovery tasks is often described in principle but rarely demonstrated in a unified, reproducible pipeline.</w:t>
      </w:r>
    </w:p>
    <w:p>
      <w:pPr>
        <w:pStyle w:val="BodyText"/>
      </w:pPr>
      <w:r>
        <w:t xml:space="preserve">This review addresses these gaps through a systematic benchmark of deep learning architectures, building on Jessen’s foundational demonstration that a simple feed-forward neural network could classify peptides as strong binders, weak binders, or non-binders with approximately 95% accuracy [21]. We contribute: (i) the first systematic six-architecture comparison on a common MHCflurry-labeled dataset; (ii) quantification of label quality effects across three labeling strategies; (iii) external validation against 49 IEDB-verified epitopes; (iv) translational application through protein epitope scanning and cancer mutation analysis; and (v) extraction of biologically interpretable learned feature representations. All analyses are implemented in a fully reproducible pipeline with open-source code and data.</w:t>
      </w:r>
    </w:p>
    <w:p>
      <w:r>
        <w:pict>
          <v:rect style="width:0;height:1.5pt" o:hralign="center" o:hrstd="t" o:hr="t"/>
        </w:pict>
      </w:r>
    </w:p>
    <w:bookmarkEnd w:id="11"/>
    <w:bookmarkStart w:id="18" w:name="methods"/>
    <w:p>
      <w:pPr>
        <w:pStyle w:val="Heading2"/>
      </w:pPr>
      <w:r>
        <w:t xml:space="preserve">2. Methods</w:t>
      </w:r>
    </w:p>
    <w:bookmarkStart w:id="12" w:name="training-data-generation"/>
    <w:p>
      <w:pPr>
        <w:pStyle w:val="Heading3"/>
      </w:pPr>
      <w:r>
        <w:t xml:space="preserve">2.1 Training Data Generation</w:t>
      </w:r>
    </w:p>
    <w:p>
      <w:pPr>
        <w:pStyle w:val="FirstParagraph"/>
      </w:pPr>
      <w:r>
        <w:t xml:space="preserve">A total of 100,000 random 9-mer peptides were generated by uniform sampling of the 20 standard amino acids. Each peptide was submitted to MHCflurry 2.2.0 [15] for binding affinity prediction against HLA-A*02:01. Peptides were assigned to three classes following the netMHCpan convention [13]: Strong Binder (SB, percentile rank &lt; 0.5%), Weak Binder (WB, 0.5% &lt;= rank &lt; 2.0%), and Non-Binder (NB, rank &gt;= 2.0%). The resulting class distribution (1.7% SB, 5.1% WB, 93.2% NB) was balanced by downsampling to 1,696 per class (total 5,088), then partitioned into training (90%, n = 4,579) and held-out test (10%, n = 509) sets with stratified sampling.</w:t>
      </w:r>
    </w:p>
    <w:p>
      <w:pPr>
        <w:pStyle w:val="BodyText"/>
      </w:pPr>
      <w:r>
        <w:t xml:space="preserve">Two comparison labeling strategies were implemented: a position-specific scoring matrix (PSSM) encoding crystallographically determined HLA-A*02:01 anchor preferences, and random synthetic labels with weak anchor bias as a baseline control. Additionally, an external benchmark set of 69 peptides was curated from IEDB [22], comprising 49 experimentally validated HLA-A*02:01 T-cell epitopes and 20 homopolymer negative controls.</w:t>
      </w:r>
    </w:p>
    <w:bookmarkEnd w:id="12"/>
    <w:bookmarkStart w:id="13" w:name="peptide-encoding"/>
    <w:p>
      <w:pPr>
        <w:pStyle w:val="Heading3"/>
      </w:pPr>
      <w:r>
        <w:t xml:space="preserve">2.2 Peptide Encoding</w:t>
      </w:r>
    </w:p>
    <w:p>
      <w:pPr>
        <w:pStyle w:val="FirstParagraph"/>
      </w:pPr>
      <w:r>
        <w:t xml:space="preserve">Each 9-mer was encoded using the BLOSUM62 amino acid substitution matrix [23] with min-max normalization to [0, 1], producing a 9 x 20 matrix treated as a single-channel image for convolutional architectures or flattened to 180 dimensions for fully connected networks.</w:t>
      </w:r>
    </w:p>
    <w:bookmarkEnd w:id="13"/>
    <w:bookmarkStart w:id="14" w:name="model-architectures"/>
    <w:p>
      <w:pPr>
        <w:pStyle w:val="Heading3"/>
      </w:pPr>
      <w:r>
        <w:t xml:space="preserve">2.3 Model Architectures</w:t>
      </w:r>
    </w:p>
    <w:p>
      <w:pPr>
        <w:pStyle w:val="FirstParagraph"/>
      </w:pPr>
      <w:r>
        <w:t xml:space="preserve">Six classifiers were implemented and compared. (i)</w:t>
      </w:r>
      <w:r>
        <w:t xml:space="preserve"> </w:t>
      </w:r>
      <w:r>
        <w:rPr>
          <w:b/>
          <w:bCs/>
        </w:rPr>
        <w:t xml:space="preserve">FFN</w:t>
      </w:r>
      <w:r>
        <w:t xml:space="preserve"> </w:t>
      </w:r>
      <w:r>
        <w:t xml:space="preserve">(Jessen 2018 [21]): 180 -&gt; dropout(0.4) -&gt; 90 -&gt; dropout(0.3) -&gt; 3 (softmax), 49,143 parameters. (ii)</w:t>
      </w:r>
      <w:r>
        <w:t xml:space="preserve"> </w:t>
      </w:r>
      <w:r>
        <w:rPr>
          <w:b/>
          <w:bCs/>
        </w:rPr>
        <w:t xml:space="preserve">Deep FFN</w:t>
      </w:r>
      <w:r>
        <w:t xml:space="preserve">: 180 -&gt; 360 -&gt; BN -&gt; dropout(0.5) -&gt; 180 -&gt; BN -&gt; dropout(0.4) -&gt; 90 -&gt; dropout(0.3) -&gt; 45 -&gt; 3, 152,823 parameters. (iii)</w:t>
      </w:r>
      <w:r>
        <w:t xml:space="preserve"> </w:t>
      </w:r>
      <w:r>
        <w:rPr>
          <w:b/>
          <w:bCs/>
        </w:rPr>
        <w:t xml:space="preserve">CNN</w:t>
      </w:r>
      <w:r>
        <w:t xml:space="preserve">: Conv2D(32, 3x3) -&gt; dropout(0.25) -&gt; FFN body, 1,053,863 parameters. (iv)</w:t>
      </w:r>
      <w:r>
        <w:t xml:space="preserve"> </w:t>
      </w:r>
      <w:r>
        <w:rPr>
          <w:b/>
          <w:bCs/>
        </w:rPr>
        <w:t xml:space="preserve">LSTM</w:t>
      </w:r>
      <w:r>
        <w:t xml:space="preserve">: LSTM(64) -&gt; dropout(0.3) -&gt; dense(32) -&gt; 3, 23,939 parameters. (v)</w:t>
      </w:r>
      <w:r>
        <w:t xml:space="preserve"> </w:t>
      </w:r>
      <w:r>
        <w:rPr>
          <w:b/>
          <w:bCs/>
        </w:rPr>
        <w:t xml:space="preserve">ResNet-style</w:t>
      </w:r>
      <w:r>
        <w:t xml:space="preserve">: stem Conv(32) -&gt; 3 residual blocks (32-&gt;64-&gt;128) with 1x1 projection shortcuts -&gt; global average pooling -&gt; dense(128) -&gt; 3, 324,931 parameters. (vi)</w:t>
      </w:r>
      <w:r>
        <w:t xml:space="preserve"> </w:t>
      </w:r>
      <w:r>
        <w:rPr>
          <w:b/>
          <w:bCs/>
        </w:rPr>
        <w:t xml:space="preserve">Random Forest</w:t>
      </w:r>
      <w:r>
        <w:t xml:space="preserve">: 100 trees on flattened BLOSUM62 features.</w:t>
      </w:r>
    </w:p>
    <w:bookmarkEnd w:id="14"/>
    <w:bookmarkStart w:id="15" w:name="training-and-evaluation"/>
    <w:p>
      <w:pPr>
        <w:pStyle w:val="Heading3"/>
      </w:pPr>
      <w:r>
        <w:t xml:space="preserve">2.4 Training and Evaluation</w:t>
      </w:r>
    </w:p>
    <w:p>
      <w:pPr>
        <w:pStyle w:val="FirstParagraph"/>
      </w:pPr>
      <w:r>
        <w:t xml:space="preserve">Neural networks were implemented in R v4.6.0 with Keras v2.16.1/TensorFlow v2.17.0. Training used categorical cross-entropy loss with RMSprop (FFN, CNN) or Adam (Deep FFN, LSTM, ResNet) at learning rate 0.001, 150 epochs, batch size 50, 20% internal validation split, early stopping (patience 10), and learning rate reduction on plateau. Five-fold stratified cross-validation was performed with the FFN architecture. Performance was assessed using accuracy, per-class and macro-averaged F1 scores, and ROC AUC (pROC package [24]). The DeLong method provided AUC confidence intervals.</w:t>
      </w:r>
    </w:p>
    <w:bookmarkEnd w:id="15"/>
    <w:bookmarkStart w:id="16" w:name="Xb7dbd0999768b7d4be86d71923a6f77c53d4d61"/>
    <w:p>
      <w:pPr>
        <w:pStyle w:val="Heading3"/>
      </w:pPr>
      <w:r>
        <w:t xml:space="preserve">2.5 Protein Epitope Scanning and Mutation Analysis</w:t>
      </w:r>
    </w:p>
    <w:p>
      <w:pPr>
        <w:pStyle w:val="FirstParagraph"/>
      </w:pPr>
      <w:r>
        <w:t xml:space="preserve">Ten therapeutically relevant proteins were scanned using a sliding 9-mer window (stride 1): MART-1, gp100/PMEL, tyrosinase, NY-ESO-1, WT1, p53, KRAS, influenza M1, CMV pp65, and SARS-CoV-2 spike RBD. Sixteen recurrent cancer hotspot mutations (7 in p53, 9 in KRAS) were analyzed by comparing wild-type and mutant binding scores across nine overlapping 9-mer windows centered on each mutation position. Mutations were classified as Created (NB -&gt; SB/WB), Enhanced (binding score increase &gt; 0.1), Destroyed (SB/WB -&gt; NB), or Unchanged.</w:t>
      </w:r>
    </w:p>
    <w:bookmarkEnd w:id="16"/>
    <w:bookmarkStart w:id="17" w:name="feature-extraction"/>
    <w:p>
      <w:pPr>
        <w:pStyle w:val="Heading3"/>
      </w:pPr>
      <w:r>
        <w:t xml:space="preserve">2.6 Feature Extraction</w:t>
      </w:r>
    </w:p>
    <w:p>
      <w:pPr>
        <w:pStyle w:val="FirstParagraph"/>
      </w:pPr>
      <w:r>
        <w:t xml:space="preserve">Learned features were extracted from the penultimate dense layer (90 units for FFN, 128 for ResNet) via truncated models. Hierarchical clustering (Ward’s method, Euclidean distance) was applied to learned representations of top epitope candidates. Feature-binding score correlation was assessed by Pearson’s r.</w:t>
      </w:r>
    </w:p>
    <w:p>
      <w:r>
        <w:pict>
          <v:rect style="width:0;height:1.5pt" o:hralign="center" o:hrstd="t" o:hr="t"/>
        </w:pict>
      </w:r>
    </w:p>
    <w:bookmarkEnd w:id="17"/>
    <w:bookmarkEnd w:id="18"/>
    <w:bookmarkStart w:id="27" w:name="results"/>
    <w:p>
      <w:pPr>
        <w:pStyle w:val="Heading2"/>
      </w:pPr>
      <w:r>
        <w:t xml:space="preserve">3. Results</w:t>
      </w:r>
    </w:p>
    <w:bookmarkStart w:id="19" w:name="training-data-characteristics"/>
    <w:p>
      <w:pPr>
        <w:pStyle w:val="Heading3"/>
      </w:pPr>
      <w:r>
        <w:t xml:space="preserve">3.1 Training Data Characteristics</w:t>
      </w:r>
    </w:p>
    <w:p>
      <w:pPr>
        <w:pStyle w:val="FirstParagraph"/>
      </w:pPr>
      <w:r>
        <w:t xml:space="preserve">MHCflurry labeling of 100,000 random 9-mers yielded 1.7% SB, 5.1% WB, and 93.2% NB peptides. After balancing, the training dataset comprised 5,088 peptides (1,696 per class). MHCflurry-derived labels exhibited substantially greater complexity than PSSM labels, capturing non-linear inter-position interactions that produced a more diffuse WB/NB decision boundary.</w:t>
      </w:r>
    </w:p>
    <w:bookmarkEnd w:id="19"/>
    <w:bookmarkStart w:id="20" w:name="model-performance-comparison"/>
    <w:p>
      <w:pPr>
        <w:pStyle w:val="Heading3"/>
      </w:pPr>
      <w:r>
        <w:t xml:space="preserve">3.2 Model Performance Comparison</w:t>
      </w:r>
    </w:p>
    <w:p>
      <w:pPr>
        <w:pStyle w:val="FirstParagraph"/>
      </w:pPr>
      <w:r>
        <w:t xml:space="preserve">The Deep FFN achieved the highest performance across all metrics (Table 1).</w:t>
      </w:r>
    </w:p>
    <w:p>
      <w:pPr>
        <w:pStyle w:val="BodyText"/>
      </w:pPr>
      <w:r>
        <w:rPr>
          <w:b/>
          <w:bCs/>
        </w:rPr>
        <w:t xml:space="preserve">Table 1. Model performance on MHCflurry-labeled test set.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center"/>
            </w:pPr>
            <w:r>
              <w:t xml:space="preserve">Accuracy (%)</w:t>
            </w:r>
          </w:p>
        </w:tc>
        <w:tc>
          <w:tcPr/>
          <w:p>
            <w:pPr>
              <w:pStyle w:val="Compact"/>
              <w:jc w:val="center"/>
            </w:pPr>
            <w:r>
              <w:t xml:space="preserve">Macro F1</w:t>
            </w:r>
          </w:p>
        </w:tc>
        <w:tc>
          <w:tcPr/>
          <w:p>
            <w:pPr>
              <w:pStyle w:val="Compact"/>
              <w:jc w:val="center"/>
            </w:pPr>
            <w:r>
              <w:t xml:space="preserve">NB F1</w:t>
            </w:r>
          </w:p>
        </w:tc>
        <w:tc>
          <w:tcPr/>
          <w:p>
            <w:pPr>
              <w:pStyle w:val="Compact"/>
              <w:jc w:val="center"/>
            </w:pPr>
            <w:r>
              <w:t xml:space="preserve">WB F1</w:t>
            </w:r>
          </w:p>
        </w:tc>
        <w:tc>
          <w:tcPr/>
          <w:p>
            <w:pPr>
              <w:pStyle w:val="Compact"/>
              <w:jc w:val="center"/>
            </w:pPr>
            <w:r>
              <w:t xml:space="preserve">SB F1</w:t>
            </w:r>
          </w:p>
        </w:tc>
        <w:tc>
          <w:tcPr/>
          <w:p>
            <w:pPr>
              <w:pStyle w:val="Compact"/>
              <w:jc w:val="center"/>
            </w:pPr>
            <w:r>
              <w:t xml:space="preserve">Parameters</w:t>
            </w:r>
          </w:p>
        </w:tc>
      </w:tr>
      <w:tr>
        <w:tc>
          <w:tcPr/>
          <w:p>
            <w:pPr>
              <w:pStyle w:val="Compact"/>
            </w:pPr>
            <w:r>
              <w:t xml:space="preserve">Deep FFN</w:t>
            </w:r>
          </w:p>
        </w:tc>
        <w:tc>
          <w:tcPr/>
          <w:p>
            <w:pPr>
              <w:pStyle w:val="Compact"/>
              <w:jc w:val="center"/>
            </w:pPr>
            <w:r>
              <w:rPr>
                <w:b/>
                <w:bCs/>
              </w:rPr>
              <w:t xml:space="preserve">91.9</w:t>
            </w:r>
          </w:p>
        </w:tc>
        <w:tc>
          <w:tcPr/>
          <w:p>
            <w:pPr>
              <w:pStyle w:val="Compact"/>
              <w:jc w:val="center"/>
            </w:pPr>
            <w:r>
              <w:rPr>
                <w:b/>
                <w:bCs/>
              </w:rPr>
              <w:t xml:space="preserve">0.921</w:t>
            </w:r>
          </w:p>
        </w:tc>
        <w:tc>
          <w:tcPr/>
          <w:p>
            <w:pPr>
              <w:pStyle w:val="Compact"/>
              <w:jc w:val="center"/>
            </w:pPr>
            <w:r>
              <w:t xml:space="preserve">0.969</w:t>
            </w:r>
          </w:p>
        </w:tc>
        <w:tc>
          <w:tcPr/>
          <w:p>
            <w:pPr>
              <w:pStyle w:val="Compact"/>
              <w:jc w:val="center"/>
            </w:pPr>
            <w:r>
              <w:t xml:space="preserve">0.880</w:t>
            </w:r>
          </w:p>
        </w:tc>
        <w:tc>
          <w:tcPr/>
          <w:p>
            <w:pPr>
              <w:pStyle w:val="Compact"/>
              <w:jc w:val="center"/>
            </w:pPr>
            <w:r>
              <w:t xml:space="preserve">0.913</w:t>
            </w:r>
          </w:p>
        </w:tc>
        <w:tc>
          <w:tcPr/>
          <w:p>
            <w:pPr>
              <w:pStyle w:val="Compact"/>
              <w:jc w:val="center"/>
            </w:pPr>
            <w:r>
              <w:t xml:space="preserve">152,823</w:t>
            </w:r>
          </w:p>
        </w:tc>
      </w:tr>
      <w:tr>
        <w:tc>
          <w:tcPr/>
          <w:p>
            <w:pPr>
              <w:pStyle w:val="Compact"/>
            </w:pPr>
            <w:r>
              <w:t xml:space="preserve">FFN (Jessen)</w:t>
            </w:r>
          </w:p>
        </w:tc>
        <w:tc>
          <w:tcPr/>
          <w:p>
            <w:pPr>
              <w:pStyle w:val="Compact"/>
              <w:jc w:val="center"/>
            </w:pPr>
            <w:r>
              <w:t xml:space="preserve">90.9</w:t>
            </w:r>
          </w:p>
        </w:tc>
        <w:tc>
          <w:tcPr/>
          <w:p>
            <w:pPr>
              <w:pStyle w:val="Compact"/>
              <w:jc w:val="center"/>
            </w:pPr>
            <w:r>
              <w:t xml:space="preserve">0.911</w:t>
            </w:r>
          </w:p>
        </w:tc>
        <w:tc>
          <w:tcPr/>
          <w:p>
            <w:pPr>
              <w:pStyle w:val="Compact"/>
              <w:jc w:val="center"/>
            </w:pPr>
            <w:r>
              <w:t xml:space="preserve">0.969</w:t>
            </w:r>
          </w:p>
        </w:tc>
        <w:tc>
          <w:tcPr/>
          <w:p>
            <w:pPr>
              <w:pStyle w:val="Compact"/>
              <w:jc w:val="center"/>
            </w:pPr>
            <w:r>
              <w:t xml:space="preserve">0.875</w:t>
            </w:r>
          </w:p>
        </w:tc>
        <w:tc>
          <w:tcPr/>
          <w:p>
            <w:pPr>
              <w:pStyle w:val="Compact"/>
              <w:jc w:val="center"/>
            </w:pPr>
            <w:r>
              <w:t xml:space="preserve">0.891</w:t>
            </w:r>
          </w:p>
        </w:tc>
        <w:tc>
          <w:tcPr/>
          <w:p>
            <w:pPr>
              <w:pStyle w:val="Compact"/>
              <w:jc w:val="center"/>
            </w:pPr>
            <w:r>
              <w:t xml:space="preserve">49,143</w:t>
            </w:r>
          </w:p>
        </w:tc>
      </w:tr>
      <w:tr>
        <w:tc>
          <w:tcPr/>
          <w:p>
            <w:pPr>
              <w:pStyle w:val="Compact"/>
            </w:pPr>
            <w:r>
              <w:t xml:space="preserve">CNN</w:t>
            </w:r>
          </w:p>
        </w:tc>
        <w:tc>
          <w:tcPr/>
          <w:p>
            <w:pPr>
              <w:pStyle w:val="Compact"/>
              <w:jc w:val="center"/>
            </w:pPr>
            <w:r>
              <w:t xml:space="preserve">90.0</w:t>
            </w:r>
          </w:p>
        </w:tc>
        <w:tc>
          <w:tcPr/>
          <w:p>
            <w:pPr>
              <w:pStyle w:val="Compact"/>
              <w:jc w:val="center"/>
            </w:pPr>
            <w:r>
              <w:t xml:space="preserve">0.901</w:t>
            </w:r>
          </w:p>
        </w:tc>
        <w:tc>
          <w:tcPr/>
          <w:p>
            <w:pPr>
              <w:pStyle w:val="Compact"/>
              <w:jc w:val="center"/>
            </w:pPr>
            <w:r>
              <w:t xml:space="preserve">0.963</w:t>
            </w:r>
          </w:p>
        </w:tc>
        <w:tc>
          <w:tcPr/>
          <w:p>
            <w:pPr>
              <w:pStyle w:val="Compact"/>
              <w:jc w:val="center"/>
            </w:pPr>
            <w:r>
              <w:t xml:space="preserve">0.860</w:t>
            </w:r>
          </w:p>
        </w:tc>
        <w:tc>
          <w:tcPr/>
          <w:p>
            <w:pPr>
              <w:pStyle w:val="Compact"/>
              <w:jc w:val="center"/>
            </w:pPr>
            <w:r>
              <w:t xml:space="preserve">0.882</w:t>
            </w:r>
          </w:p>
        </w:tc>
        <w:tc>
          <w:tcPr/>
          <w:p>
            <w:pPr>
              <w:pStyle w:val="Compact"/>
              <w:jc w:val="center"/>
            </w:pPr>
            <w:r>
              <w:t xml:space="preserve">1,053,863</w:t>
            </w:r>
          </w:p>
        </w:tc>
      </w:tr>
      <w:tr>
        <w:tc>
          <w:tcPr/>
          <w:p>
            <w:pPr>
              <w:pStyle w:val="Compact"/>
            </w:pPr>
            <w:r>
              <w:t xml:space="preserve">ResNet</w:t>
            </w:r>
          </w:p>
        </w:tc>
        <w:tc>
          <w:tcPr/>
          <w:p>
            <w:pPr>
              <w:pStyle w:val="Compact"/>
              <w:jc w:val="center"/>
            </w:pPr>
            <w:r>
              <w:t xml:space="preserve">84.3</w:t>
            </w:r>
          </w:p>
        </w:tc>
        <w:tc>
          <w:tcPr/>
          <w:p>
            <w:pPr>
              <w:pStyle w:val="Compact"/>
              <w:jc w:val="center"/>
            </w:pPr>
            <w:r>
              <w:t xml:space="preserve">0.847</w:t>
            </w:r>
          </w:p>
        </w:tc>
        <w:tc>
          <w:tcPr/>
          <w:p>
            <w:pPr>
              <w:pStyle w:val="Compact"/>
              <w:jc w:val="center"/>
            </w:pPr>
            <w:r>
              <w:t xml:space="preserve">0.907</w:t>
            </w:r>
          </w:p>
        </w:tc>
        <w:tc>
          <w:tcPr/>
          <w:p>
            <w:pPr>
              <w:pStyle w:val="Compact"/>
              <w:jc w:val="center"/>
            </w:pPr>
            <w:r>
              <w:t xml:space="preserve">0.792</w:t>
            </w:r>
          </w:p>
        </w:tc>
        <w:tc>
          <w:tcPr/>
          <w:p>
            <w:pPr>
              <w:pStyle w:val="Compact"/>
              <w:jc w:val="center"/>
            </w:pPr>
            <w:r>
              <w:t xml:space="preserve">0.843</w:t>
            </w:r>
          </w:p>
        </w:tc>
        <w:tc>
          <w:tcPr/>
          <w:p>
            <w:pPr>
              <w:pStyle w:val="Compact"/>
              <w:jc w:val="center"/>
            </w:pPr>
            <w:r>
              <w:t xml:space="preserve">324,931</w:t>
            </w:r>
          </w:p>
        </w:tc>
      </w:tr>
      <w:tr>
        <w:tc>
          <w:tcPr/>
          <w:p>
            <w:pPr>
              <w:pStyle w:val="Compact"/>
            </w:pPr>
            <w:r>
              <w:t xml:space="preserve">LSTM</w:t>
            </w:r>
          </w:p>
        </w:tc>
        <w:tc>
          <w:tcPr/>
          <w:p>
            <w:pPr>
              <w:pStyle w:val="Compact"/>
              <w:jc w:val="center"/>
            </w:pPr>
            <w:r>
              <w:t xml:space="preserve">83.3</w:t>
            </w:r>
          </w:p>
        </w:tc>
        <w:tc>
          <w:tcPr/>
          <w:p>
            <w:pPr>
              <w:pStyle w:val="Compact"/>
              <w:jc w:val="center"/>
            </w:pPr>
            <w:r>
              <w:t xml:space="preserve">0.836</w:t>
            </w:r>
          </w:p>
        </w:tc>
        <w:tc>
          <w:tcPr/>
          <w:p>
            <w:pPr>
              <w:pStyle w:val="Compact"/>
              <w:jc w:val="center"/>
            </w:pPr>
            <w:r>
              <w:t xml:space="preserve">0.935</w:t>
            </w:r>
          </w:p>
        </w:tc>
        <w:tc>
          <w:tcPr/>
          <w:p>
            <w:pPr>
              <w:pStyle w:val="Compact"/>
              <w:jc w:val="center"/>
            </w:pPr>
            <w:r>
              <w:t xml:space="preserve">0.752</w:t>
            </w:r>
          </w:p>
        </w:tc>
        <w:tc>
          <w:tcPr/>
          <w:p>
            <w:pPr>
              <w:pStyle w:val="Compact"/>
              <w:jc w:val="center"/>
            </w:pPr>
            <w:r>
              <w:t xml:space="preserve">0.822</w:t>
            </w:r>
          </w:p>
        </w:tc>
        <w:tc>
          <w:tcPr/>
          <w:p>
            <w:pPr>
              <w:pStyle w:val="Compact"/>
              <w:jc w:val="center"/>
            </w:pPr>
            <w:r>
              <w:t xml:space="preserve">23,939</w:t>
            </w:r>
          </w:p>
        </w:tc>
      </w:tr>
      <w:tr>
        <w:tc>
          <w:tcPr/>
          <w:p>
            <w:pPr>
              <w:pStyle w:val="Compact"/>
            </w:pPr>
            <w:r>
              <w:t xml:space="preserve">Random Forest</w:t>
            </w:r>
          </w:p>
        </w:tc>
        <w:tc>
          <w:tcPr/>
          <w:p>
            <w:pPr>
              <w:pStyle w:val="Compact"/>
              <w:jc w:val="center"/>
            </w:pPr>
            <w:r>
              <w:t xml:space="preserve">81.1</w:t>
            </w:r>
          </w:p>
        </w:tc>
        <w:tc>
          <w:tcPr/>
          <w:p>
            <w:pPr>
              <w:pStyle w:val="Compact"/>
              <w:jc w:val="center"/>
            </w:pPr>
            <w:r>
              <w:t xml:space="preserve">0.814</w:t>
            </w:r>
          </w:p>
        </w:tc>
        <w:tc>
          <w:tcPr/>
          <w:p>
            <w:pPr>
              <w:pStyle w:val="Compact"/>
              <w:jc w:val="center"/>
            </w:pPr>
            <w:r>
              <w:t xml:space="preserve">0.927</w:t>
            </w:r>
          </w:p>
        </w:tc>
        <w:tc>
          <w:tcPr/>
          <w:p>
            <w:pPr>
              <w:pStyle w:val="Compact"/>
              <w:jc w:val="center"/>
            </w:pPr>
            <w:r>
              <w:t xml:space="preserve">0.723</w:t>
            </w:r>
          </w:p>
        </w:tc>
        <w:tc>
          <w:tcPr/>
          <w:p>
            <w:pPr>
              <w:pStyle w:val="Compact"/>
              <w:jc w:val="center"/>
            </w:pPr>
            <w:r>
              <w:t xml:space="preserve">0.793</w:t>
            </w:r>
          </w:p>
        </w:tc>
        <w:tc>
          <w:tcPr/>
          <w:p>
            <w:pPr>
              <w:pStyle w:val="Compact"/>
              <w:jc w:val="center"/>
            </w:pPr>
            <w:r>
              <w:t xml:space="preserve">–</w:t>
            </w:r>
          </w:p>
        </w:tc>
      </w:tr>
    </w:tbl>
    <w:p>
      <w:pPr>
        <w:pStyle w:val="BodyText"/>
      </w:pPr>
      <w:r>
        <w:t xml:space="preserve">The Deep FFN outperformed the baseline FFN by 1.0 percentage point (91.9% vs. 90.9%). The CNN (90.0%) underperformed the simpler FFN, consistent with the observation that peptide BLOSUM62 encodings lack spatial structures that convolutional filters exploit [21]. The ResNet (84.3%) and LSTM (83.3%) substantially underperformed, reflecting the positional rather than hierarchical or sequential nature of peptide-MHC binding determinants. The WB class was consistently the most difficult (F1 0.752-0.880), reflecting the inherently fuzzy boundary between weak binding and non-binding.</w:t>
      </w:r>
    </w:p>
    <w:bookmarkEnd w:id="20"/>
    <w:bookmarkStart w:id="21" w:name="cross-validation"/>
    <w:p>
      <w:pPr>
        <w:pStyle w:val="Heading3"/>
      </w:pPr>
      <w:r>
        <w:t xml:space="preserve">3.3 Cross-Validation</w:t>
      </w:r>
    </w:p>
    <w:p>
      <w:pPr>
        <w:pStyle w:val="FirstParagraph"/>
      </w:pPr>
      <w:r>
        <w:t xml:space="preserve">Five-fold stratified CV of the FFN architecture yielded per-fold accuracies of 90.9%, 89.4%, 89.9%, 89.3%, and 88.8% (mean 89.6% +/- 0.8%), confirming stable generalization.</w:t>
      </w:r>
    </w:p>
    <w:bookmarkEnd w:id="21"/>
    <w:bookmarkStart w:id="22" w:name="effect-of-label-quality"/>
    <w:p>
      <w:pPr>
        <w:pStyle w:val="Heading3"/>
      </w:pPr>
      <w:r>
        <w:t xml:space="preserve">3.4 Effect of Label Quality</w:t>
      </w:r>
    </w:p>
    <w:p>
      <w:pPr>
        <w:pStyle w:val="FirstParagraph"/>
      </w:pPr>
      <w:r>
        <w:t xml:space="preserve">Label quality proved to be the dominant determinant of model performance (Table 2).</w:t>
      </w:r>
    </w:p>
    <w:p>
      <w:pPr>
        <w:pStyle w:val="BodyText"/>
      </w:pPr>
      <w:r>
        <w:rPr>
          <w:b/>
          <w:bCs/>
        </w:rPr>
        <w:t xml:space="preserve">Table 2. Deep FFN performance across labeling strategies.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Label Source</w:t>
            </w:r>
          </w:p>
        </w:tc>
        <w:tc>
          <w:tcPr/>
          <w:p>
            <w:pPr>
              <w:pStyle w:val="Compact"/>
              <w:jc w:val="center"/>
            </w:pPr>
            <w:r>
              <w:t xml:space="preserve">Accuracy (%)</w:t>
            </w:r>
          </w:p>
        </w:tc>
        <w:tc>
          <w:tcPr/>
          <w:p>
            <w:pPr>
              <w:pStyle w:val="Compact"/>
              <w:jc w:val="center"/>
            </w:pPr>
            <w:r>
              <w:t xml:space="preserve">Macro F1</w:t>
            </w:r>
          </w:p>
        </w:tc>
        <w:tc>
          <w:tcPr/>
          <w:p>
            <w:pPr>
              <w:pStyle w:val="Compact"/>
              <w:jc w:val="center"/>
            </w:pPr>
            <w:r>
              <w:t xml:space="preserve">WB F1</w:t>
            </w:r>
          </w:p>
        </w:tc>
        <w:tc>
          <w:tcPr/>
          <w:p>
            <w:pPr>
              <w:pStyle w:val="Compact"/>
              <w:jc w:val="center"/>
            </w:pPr>
            <w:r>
              <w:t xml:space="preserve">CV Mean (%)</w:t>
            </w:r>
          </w:p>
        </w:tc>
      </w:tr>
      <w:tr>
        <w:tc>
          <w:tcPr/>
          <w:p>
            <w:pPr>
              <w:pStyle w:val="Compact"/>
            </w:pPr>
            <w:r>
              <w:t xml:space="preserve">PSSM (biophysics)</w:t>
            </w:r>
          </w:p>
        </w:tc>
        <w:tc>
          <w:tcPr/>
          <w:p>
            <w:pPr>
              <w:pStyle w:val="Compact"/>
              <w:jc w:val="center"/>
            </w:pPr>
            <w:r>
              <w:t xml:space="preserve">94.8</w:t>
            </w:r>
          </w:p>
        </w:tc>
        <w:tc>
          <w:tcPr/>
          <w:p>
            <w:pPr>
              <w:pStyle w:val="Compact"/>
              <w:jc w:val="center"/>
            </w:pPr>
            <w:r>
              <w:t xml:space="preserve">0.948</w:t>
            </w:r>
          </w:p>
        </w:tc>
        <w:tc>
          <w:tcPr/>
          <w:p>
            <w:pPr>
              <w:pStyle w:val="Compact"/>
              <w:jc w:val="center"/>
            </w:pPr>
            <w:r>
              <w:t xml:space="preserve">0.925</w:t>
            </w:r>
          </w:p>
        </w:tc>
        <w:tc>
          <w:tcPr/>
          <w:p>
            <w:pPr>
              <w:pStyle w:val="Compact"/>
              <w:jc w:val="center"/>
            </w:pPr>
            <w:r>
              <w:t xml:space="preserve">91.1 +/- 0.9</w:t>
            </w:r>
          </w:p>
        </w:tc>
      </w:tr>
      <w:tr>
        <w:tc>
          <w:tcPr/>
          <w:p>
            <w:pPr>
              <w:pStyle w:val="Compact"/>
            </w:pPr>
            <w:r>
              <w:t xml:space="preserve">MHCflurry 2.2.0</w:t>
            </w:r>
          </w:p>
        </w:tc>
        <w:tc>
          <w:tcPr/>
          <w:p>
            <w:pPr>
              <w:pStyle w:val="Compact"/>
              <w:jc w:val="center"/>
            </w:pPr>
            <w:r>
              <w:t xml:space="preserve">91.9</w:t>
            </w:r>
          </w:p>
        </w:tc>
        <w:tc>
          <w:tcPr/>
          <w:p>
            <w:pPr>
              <w:pStyle w:val="Compact"/>
              <w:jc w:val="center"/>
            </w:pPr>
            <w:r>
              <w:t xml:space="preserve">0.921</w:t>
            </w:r>
          </w:p>
        </w:tc>
        <w:tc>
          <w:tcPr/>
          <w:p>
            <w:pPr>
              <w:pStyle w:val="Compact"/>
              <w:jc w:val="center"/>
            </w:pPr>
            <w:r>
              <w:t xml:space="preserve">0.880</w:t>
            </w:r>
          </w:p>
        </w:tc>
        <w:tc>
          <w:tcPr/>
          <w:p>
            <w:pPr>
              <w:pStyle w:val="Compact"/>
              <w:jc w:val="center"/>
            </w:pPr>
            <w:r>
              <w:t xml:space="preserve">89.6 +/- 0.8</w:t>
            </w:r>
          </w:p>
        </w:tc>
      </w:tr>
      <w:tr>
        <w:tc>
          <w:tcPr/>
          <w:p>
            <w:pPr>
              <w:pStyle w:val="Compact"/>
            </w:pPr>
            <w:r>
              <w:t xml:space="preserve">Random synthetic</w:t>
            </w:r>
          </w:p>
        </w:tc>
        <w:tc>
          <w:tcPr/>
          <w:p>
            <w:pPr>
              <w:pStyle w:val="Compact"/>
              <w:jc w:val="center"/>
            </w:pPr>
            <w:r>
              <w:t xml:space="preserve">65.8</w:t>
            </w:r>
          </w:p>
        </w:tc>
        <w:tc>
          <w:tcPr/>
          <w:p>
            <w:pPr>
              <w:pStyle w:val="Compact"/>
              <w:jc w:val="center"/>
            </w:pPr>
            <w:r>
              <w:t xml:space="preserve">0.558</w:t>
            </w:r>
          </w:p>
        </w:tc>
        <w:tc>
          <w:tcPr/>
          <w:p>
            <w:pPr>
              <w:pStyle w:val="Compact"/>
              <w:jc w:val="center"/>
            </w:pPr>
            <w:r>
              <w:t xml:space="preserve">0.000</w:t>
            </w:r>
          </w:p>
        </w:tc>
        <w:tc>
          <w:tcPr/>
          <w:p>
            <w:pPr>
              <w:pStyle w:val="Compact"/>
              <w:jc w:val="center"/>
            </w:pPr>
            <w:r>
              <w:t xml:space="preserve">65.4 +/- 0.4</w:t>
            </w:r>
          </w:p>
        </w:tc>
      </w:tr>
    </w:tbl>
    <w:p>
      <w:pPr>
        <w:pStyle w:val="BodyText"/>
      </w:pPr>
      <w:r>
        <w:t xml:space="preserve">The 2.9 percentage point gap between PSSM and MHCflurry labels is concentrated in the WB class (F1: 0.925 vs. 0.880). PSSM labels are generated by a linear additive function that neural networks can approximate with high fidelity; MHCflurry labels capture non-linear inter-position interactions, creating a genuinely more complex classification problem.</w:t>
      </w:r>
    </w:p>
    <w:bookmarkEnd w:id="22"/>
    <w:bookmarkStart w:id="23" w:name="iedb-benchmarking"/>
    <w:p>
      <w:pPr>
        <w:pStyle w:val="Heading3"/>
      </w:pPr>
      <w:r>
        <w:t xml:space="preserve">3.5 IEDB Benchmarking</w:t>
      </w:r>
    </w:p>
    <w:p>
      <w:pPr>
        <w:pStyle w:val="FirstParagraph"/>
      </w:pPr>
      <w:r>
        <w:t xml:space="preserve">The Deep FFN was evaluated against 49 validated T-cell epitopes and 20 negative controls (Table 3).</w:t>
      </w:r>
    </w:p>
    <w:p>
      <w:pPr>
        <w:pStyle w:val="BodyText"/>
      </w:pPr>
      <w:r>
        <w:rPr>
          <w:b/>
          <w:bCs/>
        </w:rPr>
        <w:t xml:space="preserve">Table 3. IEDB benchmark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center"/>
            </w:pPr>
            <w:r>
              <w:t xml:space="preserve">Value</w:t>
            </w:r>
          </w:p>
        </w:tc>
      </w:tr>
      <w:tr>
        <w:tc>
          <w:tcPr/>
          <w:p>
            <w:pPr>
              <w:pStyle w:val="Compact"/>
            </w:pPr>
            <w:r>
              <w:t xml:space="preserve">Sensitivity (Recall)</w:t>
            </w:r>
          </w:p>
        </w:tc>
        <w:tc>
          <w:tcPr/>
          <w:p>
            <w:pPr>
              <w:pStyle w:val="Compact"/>
              <w:jc w:val="center"/>
            </w:pPr>
            <w:r>
              <w:t xml:space="preserve">93.9% (46/49)</w:t>
            </w:r>
          </w:p>
        </w:tc>
      </w:tr>
      <w:tr>
        <w:tc>
          <w:tcPr/>
          <w:p>
            <w:pPr>
              <w:pStyle w:val="Compact"/>
            </w:pPr>
            <w:r>
              <w:t xml:space="preserve">Specificity</w:t>
            </w:r>
          </w:p>
        </w:tc>
        <w:tc>
          <w:tcPr/>
          <w:p>
            <w:pPr>
              <w:pStyle w:val="Compact"/>
              <w:jc w:val="center"/>
            </w:pPr>
            <w:r>
              <w:t xml:space="preserve">75.0% (15/20)</w:t>
            </w:r>
          </w:p>
        </w:tc>
      </w:tr>
      <w:tr>
        <w:tc>
          <w:tcPr/>
          <w:p>
            <w:pPr>
              <w:pStyle w:val="Compact"/>
            </w:pPr>
            <w:r>
              <w:t xml:space="preserve">Precision (PPV)</w:t>
            </w:r>
          </w:p>
        </w:tc>
        <w:tc>
          <w:tcPr/>
          <w:p>
            <w:pPr>
              <w:pStyle w:val="Compact"/>
              <w:jc w:val="center"/>
            </w:pPr>
            <w:r>
              <w:t xml:space="preserve">90.2%</w:t>
            </w:r>
          </w:p>
        </w:tc>
      </w:tr>
      <w:tr>
        <w:tc>
          <w:tcPr/>
          <w:p>
            <w:pPr>
              <w:pStyle w:val="Compact"/>
            </w:pPr>
            <w:r>
              <w:t xml:space="preserve">F1 Score</w:t>
            </w:r>
          </w:p>
        </w:tc>
        <w:tc>
          <w:tcPr/>
          <w:p>
            <w:pPr>
              <w:pStyle w:val="Compact"/>
              <w:jc w:val="center"/>
            </w:pPr>
            <w:r>
              <w:t xml:space="preserve">0.920</w:t>
            </w:r>
          </w:p>
        </w:tc>
      </w:tr>
      <w:tr>
        <w:tc>
          <w:tcPr/>
          <w:p>
            <w:pPr>
              <w:pStyle w:val="Compact"/>
            </w:pPr>
            <w:r>
              <w:t xml:space="preserve">ROC AUC</w:t>
            </w:r>
          </w:p>
        </w:tc>
        <w:tc>
          <w:tcPr/>
          <w:p>
            <w:pPr>
              <w:pStyle w:val="Compact"/>
              <w:jc w:val="center"/>
            </w:pPr>
            <w:r>
              <w:t xml:space="preserve">0.947</w:t>
            </w:r>
          </w:p>
        </w:tc>
      </w:tr>
    </w:tbl>
    <w:p>
      <w:pPr>
        <w:pStyle w:val="BodyText"/>
      </w:pPr>
      <w:r>
        <w:t xml:space="preserve">The three false negatives (</w:t>
      </w:r>
      <w:r>
        <w:rPr>
          <w:rStyle w:val="VerbatimChar"/>
        </w:rPr>
        <w:t xml:space="preserve">ILRGSVAHK</w:t>
      </w:r>
      <w:r>
        <w:t xml:space="preserve">,</w:t>
      </w:r>
      <w:r>
        <w:t xml:space="preserve"> </w:t>
      </w:r>
      <w:r>
        <w:rPr>
          <w:rStyle w:val="VerbatimChar"/>
        </w:rPr>
        <w:t xml:space="preserve">QYDPVAALF</w:t>
      </w:r>
      <w:r>
        <w:t xml:space="preserve">,</w:t>
      </w:r>
      <w:r>
        <w:t xml:space="preserve"> </w:t>
      </w:r>
      <w:r>
        <w:rPr>
          <w:rStyle w:val="VerbatimChar"/>
        </w:rPr>
        <w:t xml:space="preserve">TLGIVCPIC</w:t>
      </w:r>
      <w:r>
        <w:t xml:space="preserve">) all possess non-canonical p9 anchor residues (K, F, C respectively). The five false positives were homopolymers with canonical anchors (poly-L, M, V, I, F), which would bind MHC-I but lack immunogenicity – reflecting the established binding-vs-immunogenicity distinction [25].</w:t>
      </w:r>
    </w:p>
    <w:bookmarkEnd w:id="23"/>
    <w:bookmarkStart w:id="24" w:name="protein-epitope-scanning"/>
    <w:p>
      <w:pPr>
        <w:pStyle w:val="Heading3"/>
      </w:pPr>
      <w:r>
        <w:t xml:space="preserve">3.6 Protein Epitope Scanning</w:t>
      </w:r>
    </w:p>
    <w:p>
      <w:pPr>
        <w:pStyle w:val="FirstParagraph"/>
      </w:pPr>
      <w:r>
        <w:t xml:space="preserve">Systematic scanning of 10 proteins (3,536 total 9-mer windows) identified 96 strong binders (2.7%) and 293 weak binders (8.3%). Per-protein SB rates ranged from 1.6% (Spike RBD) to 3.7% (gp100). Validation against known epitopes confirmed 10 of 11 applicable epitopes (91%), including classical immunodominant epitopes</w:t>
      </w:r>
      <w:r>
        <w:t xml:space="preserve"> </w:t>
      </w:r>
      <w:r>
        <w:rPr>
          <w:rStyle w:val="VerbatimChar"/>
        </w:rPr>
        <w:t xml:space="preserve">GILGFVFTL</w:t>
      </w:r>
      <w:r>
        <w:t xml:space="preserve"> </w:t>
      </w:r>
      <w:r>
        <w:t xml:space="preserve">(M1 58-66),</w:t>
      </w:r>
      <w:r>
        <w:t xml:space="preserve"> </w:t>
      </w:r>
      <w:r>
        <w:rPr>
          <w:rStyle w:val="VerbatimChar"/>
        </w:rPr>
        <w:t xml:space="preserve">NLVPMVATV</w:t>
      </w:r>
      <w:r>
        <w:t xml:space="preserve"> </w:t>
      </w:r>
      <w:r>
        <w:t xml:space="preserve">(pp65 495-503), and</w:t>
      </w:r>
      <w:r>
        <w:t xml:space="preserve"> </w:t>
      </w:r>
      <w:r>
        <w:rPr>
          <w:rStyle w:val="VerbatimChar"/>
        </w:rPr>
        <w:t xml:space="preserve">SLLMWITQC</w:t>
      </w:r>
      <w:r>
        <w:t xml:space="preserve"> </w:t>
      </w:r>
      <w:r>
        <w:t xml:space="preserve">(NY-ESO-1 157-165).</w:t>
      </w:r>
    </w:p>
    <w:p>
      <w:pPr>
        <w:pStyle w:val="BodyText"/>
      </w:pPr>
      <w:r>
        <w:rPr>
          <w:b/>
          <w:bCs/>
        </w:rPr>
        <w:t xml:space="preserve">Table 4. Top-ranked epitope candidates across all proteins.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Rank</w:t>
            </w:r>
          </w:p>
        </w:tc>
        <w:tc>
          <w:tcPr/>
          <w:p>
            <w:pPr>
              <w:pStyle w:val="Compact"/>
            </w:pPr>
            <w:r>
              <w:t xml:space="preserve">Peptide</w:t>
            </w:r>
          </w:p>
        </w:tc>
        <w:tc>
          <w:tcPr/>
          <w:p>
            <w:pPr>
              <w:pStyle w:val="Compact"/>
            </w:pPr>
            <w:r>
              <w:t xml:space="preserve">Protein</w:t>
            </w:r>
          </w:p>
        </w:tc>
        <w:tc>
          <w:tcPr/>
          <w:p>
            <w:pPr>
              <w:pStyle w:val="Compact"/>
              <w:jc w:val="center"/>
            </w:pPr>
            <w:r>
              <w:t xml:space="preserve">SB Score</w:t>
            </w:r>
          </w:p>
        </w:tc>
        <w:tc>
          <w:tcPr/>
          <w:p>
            <w:pPr>
              <w:pStyle w:val="Compact"/>
            </w:pPr>
            <w:r>
              <w:t xml:space="preserve">Status</w:t>
            </w:r>
          </w:p>
        </w:tc>
      </w:tr>
      <w:tr>
        <w:tc>
          <w:tcPr/>
          <w:p>
            <w:pPr>
              <w:pStyle w:val="Compact"/>
              <w:jc w:val="center"/>
            </w:pPr>
            <w:r>
              <w:t xml:space="preserve">1</w:t>
            </w:r>
          </w:p>
        </w:tc>
        <w:tc>
          <w:tcPr/>
          <w:p>
            <w:pPr>
              <w:pStyle w:val="Compact"/>
            </w:pPr>
            <w:r>
              <w:t xml:space="preserve">ALMDKSLHV</w:t>
            </w:r>
          </w:p>
        </w:tc>
        <w:tc>
          <w:tcPr/>
          <w:p>
            <w:pPr>
              <w:pStyle w:val="Compact"/>
            </w:pPr>
            <w:r>
              <w:t xml:space="preserve">MART-1 56-64</w:t>
            </w:r>
          </w:p>
        </w:tc>
        <w:tc>
          <w:tcPr/>
          <w:p>
            <w:pPr>
              <w:pStyle w:val="Compact"/>
              <w:jc w:val="center"/>
            </w:pPr>
            <w:r>
              <w:t xml:space="preserve">1.000</w:t>
            </w:r>
          </w:p>
        </w:tc>
        <w:tc>
          <w:tcPr/>
          <w:p>
            <w:pPr>
              <w:pStyle w:val="Compact"/>
            </w:pPr>
            <w:r>
              <w:t xml:space="preserve">Novel</w:t>
            </w:r>
          </w:p>
        </w:tc>
      </w:tr>
      <w:tr>
        <w:tc>
          <w:tcPr/>
          <w:p>
            <w:pPr>
              <w:pStyle w:val="Compact"/>
              <w:jc w:val="center"/>
            </w:pPr>
            <w:r>
              <w:t xml:space="preserve">2</w:t>
            </w:r>
          </w:p>
        </w:tc>
        <w:tc>
          <w:tcPr/>
          <w:p>
            <w:pPr>
              <w:pStyle w:val="Compact"/>
            </w:pPr>
            <w:r>
              <w:t xml:space="preserve">RMFPNAPYL</w:t>
            </w:r>
          </w:p>
        </w:tc>
        <w:tc>
          <w:tcPr/>
          <w:p>
            <w:pPr>
              <w:pStyle w:val="Compact"/>
            </w:pPr>
            <w:r>
              <w:t xml:space="preserve">WT1 126-134</w:t>
            </w:r>
          </w:p>
        </w:tc>
        <w:tc>
          <w:tcPr/>
          <w:p>
            <w:pPr>
              <w:pStyle w:val="Compact"/>
              <w:jc w:val="center"/>
            </w:pPr>
            <w:r>
              <w:t xml:space="preserve">1.000</w:t>
            </w:r>
          </w:p>
        </w:tc>
        <w:tc>
          <w:tcPr/>
          <w:p>
            <w:pPr>
              <w:pStyle w:val="Compact"/>
            </w:pPr>
            <w:r>
              <w:t xml:space="preserve">Validated</w:t>
            </w:r>
          </w:p>
        </w:tc>
      </w:tr>
      <w:tr>
        <w:tc>
          <w:tcPr/>
          <w:p>
            <w:pPr>
              <w:pStyle w:val="Compact"/>
              <w:jc w:val="center"/>
            </w:pPr>
            <w:r>
              <w:t xml:space="preserve">3</w:t>
            </w:r>
          </w:p>
        </w:tc>
        <w:tc>
          <w:tcPr/>
          <w:p>
            <w:pPr>
              <w:pStyle w:val="Compact"/>
            </w:pPr>
            <w:r>
              <w:t xml:space="preserve">RMPEAAPPV</w:t>
            </w:r>
          </w:p>
        </w:tc>
        <w:tc>
          <w:tcPr/>
          <w:p>
            <w:pPr>
              <w:pStyle w:val="Compact"/>
            </w:pPr>
            <w:r>
              <w:t xml:space="preserve">p53 65-73</w:t>
            </w:r>
          </w:p>
        </w:tc>
        <w:tc>
          <w:tcPr/>
          <w:p>
            <w:pPr>
              <w:pStyle w:val="Compact"/>
              <w:jc w:val="center"/>
            </w:pPr>
            <w:r>
              <w:t xml:space="preserve">1.000</w:t>
            </w:r>
          </w:p>
        </w:tc>
        <w:tc>
          <w:tcPr/>
          <w:p>
            <w:pPr>
              <w:pStyle w:val="Compact"/>
            </w:pPr>
            <w:r>
              <w:t xml:space="preserve">Known region</w:t>
            </w:r>
          </w:p>
        </w:tc>
      </w:tr>
      <w:tr>
        <w:tc>
          <w:tcPr/>
          <w:p>
            <w:pPr>
              <w:pStyle w:val="Compact"/>
              <w:jc w:val="center"/>
            </w:pPr>
            <w:r>
              <w:t xml:space="preserve">4</w:t>
            </w:r>
          </w:p>
        </w:tc>
        <w:tc>
          <w:tcPr/>
          <w:p>
            <w:pPr>
              <w:pStyle w:val="Compact"/>
            </w:pPr>
            <w:r>
              <w:t xml:space="preserve">LLTEVETYV</w:t>
            </w:r>
          </w:p>
        </w:tc>
        <w:tc>
          <w:tcPr/>
          <w:p>
            <w:pPr>
              <w:pStyle w:val="Compact"/>
            </w:pPr>
            <w:r>
              <w:t xml:space="preserve">M1 3-11</w:t>
            </w:r>
          </w:p>
        </w:tc>
        <w:tc>
          <w:tcPr/>
          <w:p>
            <w:pPr>
              <w:pStyle w:val="Compact"/>
              <w:jc w:val="center"/>
            </w:pPr>
            <w:r>
              <w:t xml:space="preserve">1.000</w:t>
            </w:r>
          </w:p>
        </w:tc>
        <w:tc>
          <w:tcPr/>
          <w:p>
            <w:pPr>
              <w:pStyle w:val="Compact"/>
            </w:pPr>
            <w:r>
              <w:t xml:space="preserve">Novel</w:t>
            </w:r>
          </w:p>
        </w:tc>
      </w:tr>
      <w:tr>
        <w:tc>
          <w:tcPr/>
          <w:p>
            <w:pPr>
              <w:pStyle w:val="Compact"/>
              <w:jc w:val="center"/>
            </w:pPr>
            <w:r>
              <w:t xml:space="preserve">5</w:t>
            </w:r>
          </w:p>
        </w:tc>
        <w:tc>
          <w:tcPr/>
          <w:p>
            <w:pPr>
              <w:pStyle w:val="Compact"/>
            </w:pPr>
            <w:r>
              <w:t xml:space="preserve">YMNGTMSQV</w:t>
            </w:r>
          </w:p>
        </w:tc>
        <w:tc>
          <w:tcPr/>
          <w:p>
            <w:pPr>
              <w:pStyle w:val="Compact"/>
            </w:pPr>
            <w:r>
              <w:t xml:space="preserve">Tyrosinase 369-377</w:t>
            </w:r>
          </w:p>
        </w:tc>
        <w:tc>
          <w:tcPr/>
          <w:p>
            <w:pPr>
              <w:pStyle w:val="Compact"/>
              <w:jc w:val="center"/>
            </w:pPr>
            <w:r>
              <w:t xml:space="preserve">1.000</w:t>
            </w:r>
          </w:p>
        </w:tc>
        <w:tc>
          <w:tcPr/>
          <w:p>
            <w:pPr>
              <w:pStyle w:val="Compact"/>
            </w:pPr>
            <w:r>
              <w:t xml:space="preserve">Validated</w:t>
            </w:r>
          </w:p>
        </w:tc>
      </w:tr>
      <w:tr>
        <w:tc>
          <w:tcPr/>
          <w:p>
            <w:pPr>
              <w:pStyle w:val="Compact"/>
              <w:jc w:val="center"/>
            </w:pPr>
            <w:r>
              <w:t xml:space="preserve">6</w:t>
            </w:r>
          </w:p>
        </w:tc>
        <w:tc>
          <w:tcPr/>
          <w:p>
            <w:pPr>
              <w:pStyle w:val="Compact"/>
            </w:pPr>
            <w:r>
              <w:t xml:space="preserve">KIADYNYKL</w:t>
            </w:r>
          </w:p>
        </w:tc>
        <w:tc>
          <w:tcPr/>
          <w:p>
            <w:pPr>
              <w:pStyle w:val="Compact"/>
            </w:pPr>
            <w:r>
              <w:t xml:space="preserve">Spike RBD 87-95</w:t>
            </w:r>
          </w:p>
        </w:tc>
        <w:tc>
          <w:tcPr/>
          <w:p>
            <w:pPr>
              <w:pStyle w:val="Compact"/>
              <w:jc w:val="center"/>
            </w:pPr>
            <w:r>
              <w:t xml:space="preserve">0.999</w:t>
            </w:r>
          </w:p>
        </w:tc>
        <w:tc>
          <w:tcPr/>
          <w:p>
            <w:pPr>
              <w:pStyle w:val="Compact"/>
            </w:pPr>
            <w:r>
              <w:t xml:space="preserve">Novel</w:t>
            </w:r>
          </w:p>
        </w:tc>
      </w:tr>
      <w:tr>
        <w:tc>
          <w:tcPr/>
          <w:p>
            <w:pPr>
              <w:pStyle w:val="Compact"/>
              <w:jc w:val="center"/>
            </w:pPr>
            <w:r>
              <w:t xml:space="preserve">7</w:t>
            </w:r>
          </w:p>
        </w:tc>
        <w:tc>
          <w:tcPr/>
          <w:p>
            <w:pPr>
              <w:pStyle w:val="Compact"/>
            </w:pPr>
            <w:r>
              <w:t xml:space="preserve">NLVPMVATV</w:t>
            </w:r>
          </w:p>
        </w:tc>
        <w:tc>
          <w:tcPr/>
          <w:p>
            <w:pPr>
              <w:pStyle w:val="Compact"/>
            </w:pPr>
            <w:r>
              <w:t xml:space="preserve">CMV pp65 495-503</w:t>
            </w:r>
          </w:p>
        </w:tc>
        <w:tc>
          <w:tcPr/>
          <w:p>
            <w:pPr>
              <w:pStyle w:val="Compact"/>
              <w:jc w:val="center"/>
            </w:pPr>
            <w:r>
              <w:t xml:space="preserve">0.999</w:t>
            </w:r>
          </w:p>
        </w:tc>
        <w:tc>
          <w:tcPr/>
          <w:p>
            <w:pPr>
              <w:pStyle w:val="Compact"/>
            </w:pPr>
            <w:r>
              <w:t xml:space="preserve">Validated</w:t>
            </w:r>
          </w:p>
        </w:tc>
      </w:tr>
      <w:tr>
        <w:tc>
          <w:tcPr/>
          <w:p>
            <w:pPr>
              <w:pStyle w:val="Compact"/>
              <w:jc w:val="center"/>
            </w:pPr>
            <w:r>
              <w:t xml:space="preserve">8</w:t>
            </w:r>
          </w:p>
        </w:tc>
        <w:tc>
          <w:tcPr/>
          <w:p>
            <w:pPr>
              <w:pStyle w:val="Compact"/>
            </w:pPr>
            <w:r>
              <w:t xml:space="preserve">GILGFVFTL</w:t>
            </w:r>
          </w:p>
        </w:tc>
        <w:tc>
          <w:tcPr/>
          <w:p>
            <w:pPr>
              <w:pStyle w:val="Compact"/>
            </w:pPr>
            <w:r>
              <w:t xml:space="preserve">M1 58-66</w:t>
            </w:r>
          </w:p>
        </w:tc>
        <w:tc>
          <w:tcPr/>
          <w:p>
            <w:pPr>
              <w:pStyle w:val="Compact"/>
              <w:jc w:val="center"/>
            </w:pPr>
            <w:r>
              <w:t xml:space="preserve">0.999</w:t>
            </w:r>
          </w:p>
        </w:tc>
        <w:tc>
          <w:tcPr/>
          <w:p>
            <w:pPr>
              <w:pStyle w:val="Compact"/>
            </w:pPr>
            <w:r>
              <w:t xml:space="preserve">Validated</w:t>
            </w:r>
          </w:p>
        </w:tc>
      </w:tr>
      <w:tr>
        <w:tc>
          <w:tcPr/>
          <w:p>
            <w:pPr>
              <w:pStyle w:val="Compact"/>
              <w:jc w:val="center"/>
            </w:pPr>
            <w:r>
              <w:t xml:space="preserve">9</w:t>
            </w:r>
          </w:p>
        </w:tc>
        <w:tc>
          <w:tcPr/>
          <w:p>
            <w:pPr>
              <w:pStyle w:val="Compact"/>
            </w:pPr>
            <w:r>
              <w:t xml:space="preserve">RLLQTGIHV</w:t>
            </w:r>
          </w:p>
        </w:tc>
        <w:tc>
          <w:tcPr/>
          <w:p>
            <w:pPr>
              <w:pStyle w:val="Compact"/>
            </w:pPr>
            <w:r>
              <w:t xml:space="preserve">CMV pp65 40-48</w:t>
            </w:r>
          </w:p>
        </w:tc>
        <w:tc>
          <w:tcPr/>
          <w:p>
            <w:pPr>
              <w:pStyle w:val="Compact"/>
              <w:jc w:val="center"/>
            </w:pPr>
            <w:r>
              <w:t xml:space="preserve">1.000</w:t>
            </w:r>
          </w:p>
        </w:tc>
        <w:tc>
          <w:tcPr/>
          <w:p>
            <w:pPr>
              <w:pStyle w:val="Compact"/>
            </w:pPr>
            <w:r>
              <w:t xml:space="preserve">Novel</w:t>
            </w:r>
          </w:p>
        </w:tc>
      </w:tr>
      <w:tr>
        <w:tc>
          <w:tcPr/>
          <w:p>
            <w:pPr>
              <w:pStyle w:val="Compact"/>
              <w:jc w:val="center"/>
            </w:pPr>
            <w:r>
              <w:t xml:space="preserve">10</w:t>
            </w:r>
          </w:p>
        </w:tc>
        <w:tc>
          <w:tcPr/>
          <w:p>
            <w:pPr>
              <w:pStyle w:val="Compact"/>
            </w:pPr>
            <w:r>
              <w:t xml:space="preserve">FVDEYDPTI</w:t>
            </w:r>
          </w:p>
        </w:tc>
        <w:tc>
          <w:tcPr/>
          <w:p>
            <w:pPr>
              <w:pStyle w:val="Compact"/>
            </w:pPr>
            <w:r>
              <w:t xml:space="preserve">KRAS 28-36</w:t>
            </w:r>
          </w:p>
        </w:tc>
        <w:tc>
          <w:tcPr/>
          <w:p>
            <w:pPr>
              <w:pStyle w:val="Compact"/>
              <w:jc w:val="center"/>
            </w:pPr>
            <w:r>
              <w:t xml:space="preserve">1.000</w:t>
            </w:r>
          </w:p>
        </w:tc>
        <w:tc>
          <w:tcPr/>
          <w:p>
            <w:pPr>
              <w:pStyle w:val="Compact"/>
            </w:pPr>
            <w:r>
              <w:t xml:space="preserve">Novel</w:t>
            </w:r>
          </w:p>
        </w:tc>
      </w:tr>
    </w:tbl>
    <w:p>
      <w:pPr>
        <w:pStyle w:val="BodyText"/>
      </w:pPr>
      <w:r>
        <w:t xml:space="preserve">Anchor analysis confirmed L-V and M-V pairs in 17 of 20 (85%) top-scoring peptides.</w:t>
      </w:r>
    </w:p>
    <w:bookmarkEnd w:id="24"/>
    <w:bookmarkStart w:id="25" w:name="cancer-hotspot-mutation-scanning"/>
    <w:p>
      <w:pPr>
        <w:pStyle w:val="Heading3"/>
      </w:pPr>
      <w:r>
        <w:t xml:space="preserve">3.7 Cancer Hotspot Mutation Scanning</w:t>
      </w:r>
    </w:p>
    <w:p>
      <w:pPr>
        <w:pStyle w:val="FirstParagraph"/>
      </w:pPr>
      <w:r>
        <w:t xml:space="preserve">Analysis of 16 hotspot mutations (7 p53, 9 KRAS) identified 7 epitope-altering events (Table 5).</w:t>
      </w:r>
    </w:p>
    <w:p>
      <w:pPr>
        <w:pStyle w:val="BodyText"/>
      </w:pPr>
      <w:r>
        <w:rPr>
          <w:b/>
          <w:bCs/>
        </w:rPr>
        <w:t xml:space="preserve">Table 5. Epitope-altering cancer mutations.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Mutation</w:t>
            </w:r>
          </w:p>
        </w:tc>
        <w:tc>
          <w:tcPr/>
          <w:p>
            <w:pPr>
              <w:pStyle w:val="Compact"/>
            </w:pPr>
            <w:r>
              <w:t xml:space="preserve">WT Peptide</w:t>
            </w:r>
          </w:p>
        </w:tc>
        <w:tc>
          <w:tcPr/>
          <w:p>
            <w:pPr>
              <w:pStyle w:val="Compact"/>
            </w:pPr>
            <w:r>
              <w:t xml:space="preserve">Mutant Peptide</w:t>
            </w:r>
          </w:p>
        </w:tc>
        <w:tc>
          <w:tcPr/>
          <w:p>
            <w:pPr>
              <w:pStyle w:val="Compact"/>
            </w:pPr>
            <w:r>
              <w:t xml:space="preserve">Effect</w:t>
            </w:r>
          </w:p>
        </w:tc>
        <w:tc>
          <w:tcPr/>
          <w:p>
            <w:pPr>
              <w:pStyle w:val="Compact"/>
              <w:jc w:val="center"/>
            </w:pPr>
            <w:r>
              <w:t xml:space="preserve">Delta</w:t>
            </w:r>
          </w:p>
        </w:tc>
      </w:tr>
      <w:tr>
        <w:tc>
          <w:tcPr/>
          <w:p>
            <w:pPr>
              <w:pStyle w:val="Compact"/>
            </w:pPr>
            <w:r>
              <w:t xml:space="preserve">p53 R248W</w:t>
            </w:r>
          </w:p>
        </w:tc>
        <w:tc>
          <w:tcPr/>
          <w:p>
            <w:pPr>
              <w:pStyle w:val="Compact"/>
            </w:pPr>
            <w:r>
              <w:t xml:space="preserve">MNRRPILTI</w:t>
            </w:r>
          </w:p>
        </w:tc>
        <w:tc>
          <w:tcPr/>
          <w:p>
            <w:pPr>
              <w:pStyle w:val="Compact"/>
            </w:pPr>
            <w:r>
              <w:t xml:space="preserve">MNWRPILTI</w:t>
            </w:r>
          </w:p>
        </w:tc>
        <w:tc>
          <w:tcPr/>
          <w:p>
            <w:pPr>
              <w:pStyle w:val="Compact"/>
            </w:pPr>
            <w:r>
              <w:t xml:space="preserve">CREATED</w:t>
            </w:r>
          </w:p>
        </w:tc>
        <w:tc>
          <w:tcPr/>
          <w:p>
            <w:pPr>
              <w:pStyle w:val="Compact"/>
              <w:jc w:val="center"/>
            </w:pPr>
            <w:r>
              <w:t xml:space="preserve">+0.41</w:t>
            </w:r>
          </w:p>
        </w:tc>
      </w:tr>
      <w:tr>
        <w:tc>
          <w:tcPr/>
          <w:p>
            <w:pPr>
              <w:pStyle w:val="Compact"/>
            </w:pPr>
            <w:r>
              <w:t xml:space="preserve">KRAS G12V</w:t>
            </w:r>
          </w:p>
        </w:tc>
        <w:tc>
          <w:tcPr/>
          <w:p>
            <w:pPr>
              <w:pStyle w:val="Compact"/>
            </w:pPr>
            <w:r>
              <w:t xml:space="preserve">YKLVVVGAG</w:t>
            </w:r>
          </w:p>
        </w:tc>
        <w:tc>
          <w:tcPr/>
          <w:p>
            <w:pPr>
              <w:pStyle w:val="Compact"/>
            </w:pPr>
            <w:r>
              <w:t xml:space="preserve">YKLVVVGAV</w:t>
            </w:r>
          </w:p>
        </w:tc>
        <w:tc>
          <w:tcPr/>
          <w:p>
            <w:pPr>
              <w:pStyle w:val="Compact"/>
            </w:pPr>
            <w:r>
              <w:t xml:space="preserve">CREATED</w:t>
            </w:r>
          </w:p>
        </w:tc>
        <w:tc>
          <w:tcPr/>
          <w:p>
            <w:pPr>
              <w:pStyle w:val="Compact"/>
              <w:jc w:val="center"/>
            </w:pPr>
            <w:r>
              <w:t xml:space="preserve">+0.48</w:t>
            </w:r>
          </w:p>
        </w:tc>
      </w:tr>
      <w:tr>
        <w:tc>
          <w:tcPr/>
          <w:p>
            <w:pPr>
              <w:pStyle w:val="Compact"/>
            </w:pPr>
            <w:r>
              <w:t xml:space="preserve">KRAS G12V</w:t>
            </w:r>
          </w:p>
        </w:tc>
        <w:tc>
          <w:tcPr/>
          <w:p>
            <w:pPr>
              <w:pStyle w:val="Compact"/>
            </w:pPr>
            <w:r>
              <w:t xml:space="preserve">LVVVGAGGV</w:t>
            </w:r>
          </w:p>
        </w:tc>
        <w:tc>
          <w:tcPr/>
          <w:p>
            <w:pPr>
              <w:pStyle w:val="Compact"/>
            </w:pPr>
            <w:r>
              <w:t xml:space="preserve">LVVVGAVGV</w:t>
            </w:r>
          </w:p>
        </w:tc>
        <w:tc>
          <w:tcPr/>
          <w:p>
            <w:pPr>
              <w:pStyle w:val="Compact"/>
            </w:pPr>
            <w:r>
              <w:t xml:space="preserve">ENHANCED</w:t>
            </w:r>
          </w:p>
        </w:tc>
        <w:tc>
          <w:tcPr/>
          <w:p>
            <w:pPr>
              <w:pStyle w:val="Compact"/>
              <w:jc w:val="center"/>
            </w:pPr>
            <w:r>
              <w:t xml:space="preserve">+0.31</w:t>
            </w:r>
          </w:p>
        </w:tc>
      </w:tr>
      <w:tr>
        <w:tc>
          <w:tcPr/>
          <w:p>
            <w:pPr>
              <w:pStyle w:val="Compact"/>
            </w:pPr>
            <w:r>
              <w:t xml:space="preserve">KRAS G12C</w:t>
            </w:r>
          </w:p>
        </w:tc>
        <w:tc>
          <w:tcPr/>
          <w:p>
            <w:pPr>
              <w:pStyle w:val="Compact"/>
            </w:pPr>
            <w:r>
              <w:t xml:space="preserve">LVVVGAGGV</w:t>
            </w:r>
          </w:p>
        </w:tc>
        <w:tc>
          <w:tcPr/>
          <w:p>
            <w:pPr>
              <w:pStyle w:val="Compact"/>
            </w:pPr>
            <w:r>
              <w:t xml:space="preserve">LVVVGACGV</w:t>
            </w:r>
          </w:p>
        </w:tc>
        <w:tc>
          <w:tcPr/>
          <w:p>
            <w:pPr>
              <w:pStyle w:val="Compact"/>
            </w:pPr>
            <w:r>
              <w:t xml:space="preserve">ENHANCED</w:t>
            </w:r>
          </w:p>
        </w:tc>
        <w:tc>
          <w:tcPr/>
          <w:p>
            <w:pPr>
              <w:pStyle w:val="Compact"/>
              <w:jc w:val="center"/>
            </w:pPr>
            <w:r>
              <w:t xml:space="preserve">+0.31</w:t>
            </w:r>
          </w:p>
        </w:tc>
      </w:tr>
      <w:tr>
        <w:tc>
          <w:tcPr/>
          <w:p>
            <w:pPr>
              <w:pStyle w:val="Compact"/>
            </w:pPr>
            <w:r>
              <w:t xml:space="preserve">KRAS G13D</w:t>
            </w:r>
          </w:p>
        </w:tc>
        <w:tc>
          <w:tcPr/>
          <w:p>
            <w:pPr>
              <w:pStyle w:val="Compact"/>
            </w:pPr>
            <w:r>
              <w:t xml:space="preserve">GVGKSALTI</w:t>
            </w:r>
          </w:p>
        </w:tc>
        <w:tc>
          <w:tcPr/>
          <w:p>
            <w:pPr>
              <w:pStyle w:val="Compact"/>
            </w:pPr>
            <w:r>
              <w:t xml:space="preserve">DVDKSALTI</w:t>
            </w:r>
          </w:p>
        </w:tc>
        <w:tc>
          <w:tcPr/>
          <w:p>
            <w:pPr>
              <w:pStyle w:val="Compact"/>
            </w:pPr>
            <w:r>
              <w:t xml:space="preserve">DESTROYED</w:t>
            </w:r>
          </w:p>
        </w:tc>
        <w:tc>
          <w:tcPr/>
          <w:p>
            <w:pPr>
              <w:pStyle w:val="Compact"/>
              <w:jc w:val="center"/>
            </w:pPr>
            <w:r>
              <w:t xml:space="preserve">-0.47</w:t>
            </w:r>
          </w:p>
        </w:tc>
      </w:tr>
      <w:tr>
        <w:tc>
          <w:tcPr/>
          <w:p>
            <w:pPr>
              <w:pStyle w:val="Compact"/>
            </w:pPr>
            <w:r>
              <w:t xml:space="preserve">KRAS A146T</w:t>
            </w:r>
          </w:p>
        </w:tc>
        <w:tc>
          <w:tcPr/>
          <w:p>
            <w:pPr>
              <w:pStyle w:val="Compact"/>
            </w:pPr>
            <w:r>
              <w:t xml:space="preserve">GIPFIETSA</w:t>
            </w:r>
          </w:p>
        </w:tc>
        <w:tc>
          <w:tcPr/>
          <w:p>
            <w:pPr>
              <w:pStyle w:val="Compact"/>
            </w:pPr>
            <w:r>
              <w:t xml:space="preserve">GIPFIETST</w:t>
            </w:r>
          </w:p>
        </w:tc>
        <w:tc>
          <w:tcPr/>
          <w:p>
            <w:pPr>
              <w:pStyle w:val="Compact"/>
            </w:pPr>
            <w:r>
              <w:t xml:space="preserve">DESTROYED</w:t>
            </w:r>
          </w:p>
        </w:tc>
        <w:tc>
          <w:tcPr/>
          <w:p>
            <w:pPr>
              <w:pStyle w:val="Compact"/>
              <w:jc w:val="center"/>
            </w:pPr>
            <w:r>
              <w:t xml:space="preserve">-0.42</w:t>
            </w:r>
          </w:p>
        </w:tc>
      </w:tr>
      <w:tr>
        <w:tc>
          <w:tcPr/>
          <w:p>
            <w:pPr>
              <w:pStyle w:val="Compact"/>
            </w:pPr>
            <w:r>
              <w:t xml:space="preserve">p53 R249S</w:t>
            </w:r>
          </w:p>
        </w:tc>
        <w:tc>
          <w:tcPr/>
          <w:p>
            <w:pPr>
              <w:pStyle w:val="Compact"/>
            </w:pPr>
            <w:r>
              <w:t xml:space="preserve">GMNRRPILT</w:t>
            </w:r>
          </w:p>
        </w:tc>
        <w:tc>
          <w:tcPr/>
          <w:p>
            <w:pPr>
              <w:pStyle w:val="Compact"/>
            </w:pPr>
            <w:r>
              <w:t xml:space="preserve">GMNRSPILT</w:t>
            </w:r>
          </w:p>
        </w:tc>
        <w:tc>
          <w:tcPr/>
          <w:p>
            <w:pPr>
              <w:pStyle w:val="Compact"/>
            </w:pPr>
            <w:r>
              <w:t xml:space="preserve">DESTROYED</w:t>
            </w:r>
          </w:p>
        </w:tc>
        <w:tc>
          <w:tcPr/>
          <w:p>
            <w:pPr>
              <w:pStyle w:val="Compact"/>
              <w:jc w:val="center"/>
            </w:pPr>
            <w:r>
              <w:t xml:space="preserve">-0.16</w:t>
            </w:r>
          </w:p>
        </w:tc>
      </w:tr>
    </w:tbl>
    <w:p>
      <w:pPr>
        <w:pStyle w:val="BodyText"/>
      </w:pPr>
      <w:r>
        <w:t xml:space="preserve">p53 R248W, the most frequent p53 mutation across all cancers, created the neoepitope</w:t>
      </w:r>
      <w:r>
        <w:t xml:space="preserve"> </w:t>
      </w:r>
      <w:r>
        <w:rPr>
          <w:rStyle w:val="VerbatimChar"/>
        </w:rPr>
        <w:t xml:space="preserve">MNWRPILTI</w:t>
      </w:r>
      <w:r>
        <w:t xml:space="preserve"> </w:t>
      </w:r>
      <w:r>
        <w:t xml:space="preserve">where R-&gt;W at p3 introduces a bulky hydrophobic residue improving groove fit. KRAS G12V created</w:t>
      </w:r>
      <w:r>
        <w:t xml:space="preserve"> </w:t>
      </w:r>
      <w:r>
        <w:rPr>
          <w:rStyle w:val="VerbatimChar"/>
        </w:rPr>
        <w:t xml:space="preserve">YKLVVVGAV</w:t>
      </w:r>
      <w:r>
        <w:t xml:space="preserve"> </w:t>
      </w:r>
      <w:r>
        <w:t xml:space="preserve">via G-&gt;V at p9 creating a canonical C-terminal anchor. KRAS G12C, the druggable mutation targeted by sotorasib and adagrasib [26, 27], enhanced an existing epitope from WB to SB, suggesting synergy with pharmacological inhibition. Three mutations (KRAS G13D, KRAS A146T, p53 R249S) destroyed existing epitopes, representing potential immune evasion mechanisms.</w:t>
      </w:r>
    </w:p>
    <w:bookmarkEnd w:id="25"/>
    <w:bookmarkStart w:id="26" w:name="learned-feature-representations"/>
    <w:p>
      <w:pPr>
        <w:pStyle w:val="Heading3"/>
      </w:pPr>
      <w:r>
        <w:t xml:space="preserve">3.8 Learned Feature Representations</w:t>
      </w:r>
    </w:p>
    <w:p>
      <w:pPr>
        <w:pStyle w:val="FirstParagraph"/>
      </w:pPr>
      <w:r>
        <w:t xml:space="preserve">Feature extraction from the penultimate dense layer revealed biologically meaningful representations. Hierarchical clustering separated validated epitopes into coherent clusters, with false negatives forming a distinct branch characterized by absent anchor-position activation. Five features showed Pearson r &gt; 0.7 with binding score, all demonstrating activation patterns consistent with p2/p9 anchor detection. BLOSUM62 encoding heatmaps visualized the anchor signal: SB peptides displayed bright intensity at p2 (L, M, I, V) and p9 (V, L), while negative controls showed uniformly low values.</w:t>
      </w:r>
    </w:p>
    <w:p>
      <w:r>
        <w:pict>
          <v:rect style="width:0;height:1.5pt" o:hralign="center" o:hrstd="t" o:hr="t"/>
        </w:pict>
      </w:r>
    </w:p>
    <w:bookmarkEnd w:id="26"/>
    <w:bookmarkEnd w:id="27"/>
    <w:bookmarkStart w:id="35" w:name="discussion"/>
    <w:p>
      <w:pPr>
        <w:pStyle w:val="Heading2"/>
      </w:pPr>
      <w:r>
        <w:t xml:space="preserve">4. Discussion</w:t>
      </w:r>
    </w:p>
    <w:bookmarkStart w:id="28" w:name="X2b4c8db51d4ca9762027f85387c272b03049535"/>
    <w:p>
      <w:pPr>
        <w:pStyle w:val="Heading3"/>
      </w:pPr>
      <w:r>
        <w:t xml:space="preserve">4.1 Architecture Selection: Depth Over Complexity</w:t>
      </w:r>
    </w:p>
    <w:p>
      <w:pPr>
        <w:pStyle w:val="FirstParagraph"/>
      </w:pPr>
      <w:r>
        <w:t xml:space="preserve">The superior performance of the Deep FFN over more complex architectures reflects fundamental properties of peptide-MHC interactions. Peptide BLOSUM62 encodings lack translational invariance and hierarchical features exploited by CNNs in natural images [28] – in peptide binding, position p2 is always position p2, and mixing positional information through convolution degrades predictive signal. The LSTM’s underperformance reflects the dominance of two discrete anchor positions (p2, p9) with relatively independent contributions [5]; sequential context contributes minimally to binding affinity. The ResNet’s underperformance is consistent with residual connections providing benefit only in substantially deeper networks than warranted by 9 x 20 input tensors [29].</w:t>
      </w:r>
    </w:p>
    <w:bookmarkEnd w:id="28"/>
    <w:bookmarkStart w:id="29" w:name="label-quality-defines-the-ceiling"/>
    <w:p>
      <w:pPr>
        <w:pStyle w:val="Heading3"/>
      </w:pPr>
      <w:r>
        <w:t xml:space="preserve">4.2 Label Quality Defines the Ceiling</w:t>
      </w:r>
    </w:p>
    <w:p>
      <w:pPr>
        <w:pStyle w:val="FirstParagraph"/>
      </w:pPr>
      <w:r>
        <w:t xml:space="preserve">The 2.9 percentage point PSSM-MHCflurry gap quantifies a</w:t>
      </w:r>
      <w:r>
        <w:t xml:space="preserve"> </w:t>
      </w:r>
      <w:r>
        <w:t xml:space="preserve">“label complexity penalty”</w:t>
      </w:r>
      <w:r>
        <w:t xml:space="preserve"> </w:t>
      </w:r>
      <w:r>
        <w:t xml:space="preserve">with implications for benchmarking. PSSM labels are generated by a linear additive function that neural networks approximate with high fidelity; MHCflurry labels capture non-linear inter-position dependencies (e.g., p9 preference modulated by p2 identity [30]), creating a genuinely harder problem. As Preibisch et al. recently demonstrated, &gt;55% of IEDB entries are computationally labeled rather than experimentally verified [31], creating systemic risks of inflated performance reporting. We recommend that future studies explicitly report label provenance and include external validation against experimentally verified epitopes.</w:t>
      </w:r>
    </w:p>
    <w:bookmarkEnd w:id="29"/>
    <w:bookmarkStart w:id="30" w:name="the-weak-binder-problem"/>
    <w:p>
      <w:pPr>
        <w:pStyle w:val="Heading3"/>
      </w:pPr>
      <w:r>
        <w:t xml:space="preserve">4.3 The Weak Binder Problem</w:t>
      </w:r>
    </w:p>
    <w:p>
      <w:pPr>
        <w:pStyle w:val="FirstParagraph"/>
      </w:pPr>
      <w:r>
        <w:t xml:space="preserve">WB classification was the primary source of error across all architectures, reflecting the genuinely ambiguous 50-500 nM affinity range where subtle conformational effects, solvent exposure, and peptide-MHC half-life kinetics determine presentation outcomes [32]. Improving WB classification likely requires integrating structural information from AlphaFold-predicted pMHC complexes [33] or training on peptide-MHC stability measurements [34].</w:t>
      </w:r>
    </w:p>
    <w:bookmarkEnd w:id="30"/>
    <w:bookmarkStart w:id="31" w:name="binding-versus-immunogenicity"/>
    <w:p>
      <w:pPr>
        <w:pStyle w:val="Heading3"/>
      </w:pPr>
      <w:r>
        <w:t xml:space="preserve">4.4 Binding Versus Immunogenicity</w:t>
      </w:r>
    </w:p>
    <w:p>
      <w:pPr>
        <w:pStyle w:val="FirstParagraph"/>
      </w:pPr>
      <w:r>
        <w:t xml:space="preserve">The model’s classification of homopolymeric anchor peptides as binders is correct behavior for a binding predictor [25]. The TESLA consortium found that only ~6% of top-predicted MHC-I binders were confirmed immunogenic [35], and recent benchmarks confirm high sensitivity for binding but lower precision for immunogenicity [36, 37]. Bridging this gap requires integrating proteasomal cleavage [38], TAP transport [39], and TCR-pMHC binding prediction [40] into end-to-end models.</w:t>
      </w:r>
    </w:p>
    <w:bookmarkEnd w:id="31"/>
    <w:bookmarkStart w:id="32" w:name="translational-implications"/>
    <w:p>
      <w:pPr>
        <w:pStyle w:val="Heading3"/>
      </w:pPr>
      <w:r>
        <w:t xml:space="preserve">4.5 Translational Implications</w:t>
      </w:r>
    </w:p>
    <w:p>
      <w:pPr>
        <w:pStyle w:val="FirstParagraph"/>
      </w:pPr>
      <w:r>
        <w:t xml:space="preserve">The p53 R248W neoepitope</w:t>
      </w:r>
      <w:r>
        <w:t xml:space="preserve"> </w:t>
      </w:r>
      <w:r>
        <w:rPr>
          <w:rStyle w:val="VerbatimChar"/>
        </w:rPr>
        <w:t xml:space="preserve">MNWRPILTI</w:t>
      </w:r>
      <w:r>
        <w:t xml:space="preserve"> </w:t>
      </w:r>
      <w:r>
        <w:t xml:space="preserve">is of particular interest: R248W is the most frequent p53 mutation across all cancers [41] and has gain-of-function oncogenic activity [42]. A vaccine targeting this neoepitope would be applicable across multiple tumor types. The KRAS G12C epitope enhancement, combined with pharmacological G12C inhibition [26, 27], suggests a rational combination immunotherapy strategy. The three epitope-destroying mutations represent potential immune evasion mechanisms warranting investigation in tumors harboring these genotypes.</w:t>
      </w:r>
    </w:p>
    <w:bookmarkEnd w:id="32"/>
    <w:bookmarkStart w:id="33" w:name="limitations"/>
    <w:p>
      <w:pPr>
        <w:pStyle w:val="Heading3"/>
      </w:pPr>
      <w:r>
        <w:t xml:space="preserve">4.6 Limitations</w:t>
      </w:r>
    </w:p>
    <w:p>
      <w:pPr>
        <w:pStyle w:val="FirstParagraph"/>
      </w:pPr>
      <w:r>
        <w:t xml:space="preserve">Training data were generated using MHCflurry predictions rather than experimental binding affinities, though MHCflurry achieves high concordance with experimental data [15]. The study focused on HLA-A*02:01; pan-allelic extension is needed. Protein scanning and mutation predictions are computational and require experimental validation. Antigen processing steps (proteasomal cleavage, TAP transport, tapasin loading [43]) are not modeled.</w:t>
      </w:r>
    </w:p>
    <w:bookmarkEnd w:id="33"/>
    <w:bookmarkStart w:id="34" w:name="conclusions"/>
    <w:p>
      <w:pPr>
        <w:pStyle w:val="Heading3"/>
      </w:pPr>
      <w:r>
        <w:t xml:space="preserve">4.7 Conclusions</w:t>
      </w:r>
    </w:p>
    <w:p>
      <w:pPr>
        <w:pStyle w:val="FirstParagraph"/>
      </w:pPr>
      <w:r>
        <w:t xml:space="preserve">A well-regularized Deep FFN achieves state-of-the-art HLA-A*02:01 binding prediction (91.9% accuracy, 93.9% IEDB sensitivity, ROC AUC 0.947). Architectural complexity beyond additional depth with batch normalization provides diminishing returns. Label quality, not architecture, defines the performance ceiling, with the WB class as the primary locus of label-induced variation. The model generalizes to real epitope discovery and identifies actionable neoepitope candidates. All resources are provided as an open-source pipeline.</w:t>
      </w:r>
    </w:p>
    <w:p>
      <w:r>
        <w:pict>
          <v:rect style="width:0;height:1.5pt" o:hralign="center" o:hrstd="t" o:hr="t"/>
        </w:pict>
      </w:r>
    </w:p>
    <w:bookmarkEnd w:id="34"/>
    <w:bookmarkEnd w:id="35"/>
    <w:bookmarkStart w:id="36" w:name="abbreviations"/>
    <w:p>
      <w:pPr>
        <w:pStyle w:val="Heading2"/>
      </w:pPr>
      <w:r>
        <w:t xml:space="preserve">Abbreviations</w:t>
      </w:r>
    </w:p>
    <w:p>
      <w:pPr>
        <w:pStyle w:val="FirstParagraph"/>
      </w:pPr>
      <w:r>
        <w:t xml:space="preserve">AUC, Area Under the Curve; BN, Batch Normalization; CNN, Convolutional Neural Network; CV, Cross-Validation; FFN, Feed-Forward Neural Network; IEDB, Immune Epitope Database; LSTM, Long Short-Term Memory; MHC-I, Major Histocompatibility Complex Class I; NB, Non-Binder; PSSM, Position-Specific Scoring Matrix; ROC, Receiver Operating Characteristic; SB, Strong Binder; WB, Weak Binder.</w:t>
      </w:r>
    </w:p>
    <w:p>
      <w:r>
        <w:pict>
          <v:rect style="width:0;height:1.5pt" o:hralign="center" o:hrstd="t" o:hr="t"/>
        </w:pict>
      </w:r>
    </w:p>
    <w:bookmarkEnd w:id="36"/>
    <w:bookmarkStart w:id="44" w:name="declarations"/>
    <w:p>
      <w:pPr>
        <w:pStyle w:val="Heading2"/>
      </w:pPr>
      <w:r>
        <w:t xml:space="preserve">Declarations</w:t>
      </w:r>
    </w:p>
    <w:bookmarkStart w:id="37" w:name="acknowledgments"/>
    <w:p>
      <w:pPr>
        <w:pStyle w:val="Heading3"/>
      </w:pPr>
      <w:r>
        <w:t xml:space="preserve">Acknowledgments</w:t>
      </w:r>
    </w:p>
    <w:p>
      <w:pPr>
        <w:pStyle w:val="FirstParagraph"/>
      </w:pPr>
      <w:r>
        <w:t xml:space="preserve">[To be completed]</w:t>
      </w:r>
    </w:p>
    <w:bookmarkEnd w:id="37"/>
    <w:bookmarkStart w:id="38" w:name="consent-for-publication"/>
    <w:p>
      <w:pPr>
        <w:pStyle w:val="Heading3"/>
      </w:pPr>
      <w:r>
        <w:t xml:space="preserve">Consent for Publication</w:t>
      </w:r>
    </w:p>
    <w:p>
      <w:pPr>
        <w:pStyle w:val="FirstParagraph"/>
      </w:pPr>
      <w:r>
        <w:t xml:space="preserve">Not applicable.</w:t>
      </w:r>
    </w:p>
    <w:bookmarkEnd w:id="38"/>
    <w:bookmarkStart w:id="39" w:name="funding"/>
    <w:p>
      <w:pPr>
        <w:pStyle w:val="Heading3"/>
      </w:pPr>
      <w:r>
        <w:t xml:space="preserve">Funding</w:t>
      </w:r>
    </w:p>
    <w:p>
      <w:pPr>
        <w:pStyle w:val="FirstParagraph"/>
      </w:pPr>
      <w:r>
        <w:t xml:space="preserve">[To be completed]</w:t>
      </w:r>
    </w:p>
    <w:bookmarkEnd w:id="39"/>
    <w:bookmarkStart w:id="40" w:name="data-availability"/>
    <w:p>
      <w:pPr>
        <w:pStyle w:val="Heading3"/>
      </w:pPr>
      <w:r>
        <w:t xml:space="preserve">Data Availability</w:t>
      </w:r>
    </w:p>
    <w:p>
      <w:pPr>
        <w:pStyle w:val="FirstParagraph"/>
      </w:pPr>
      <w:r>
        <w:t xml:space="preserve">The complete analysis pipeline, trained models, feature matrices, and all prediction results are provided in the accompanying data package (</w:t>
      </w:r>
      <w:r>
        <w:rPr>
          <w:rStyle w:val="VerbatimChar"/>
        </w:rPr>
        <w:t xml:space="preserve">manuscript_data_package.tar.gz</w:t>
      </w:r>
      <w:r>
        <w:t xml:space="preserve">). The primary analysis script (</w:t>
      </w:r>
      <w:r>
        <w:rPr>
          <w:rStyle w:val="VerbatimChar"/>
        </w:rPr>
        <w:t xml:space="preserve">peptide_mhc_binding_study.R</w:t>
      </w:r>
      <w:r>
        <w:t xml:space="preserve">, 1,700+ lines) is documented and modular. MHCflurry 2.2.0 is available at https://github.com/openvax/mhcflurry.</w:t>
      </w:r>
    </w:p>
    <w:bookmarkEnd w:id="40"/>
    <w:bookmarkStart w:id="41" w:name="authors-contributions"/>
    <w:p>
      <w:pPr>
        <w:pStyle w:val="Heading3"/>
      </w:pPr>
      <w:r>
        <w:t xml:space="preserve">Authors’ Contributions</w:t>
      </w:r>
    </w:p>
    <w:p>
      <w:pPr>
        <w:pStyle w:val="FirstParagraph"/>
      </w:pPr>
      <w:r>
        <w:t xml:space="preserve">Zhuha Zhou: Conceptualization, Methodology, Software, Formal Analysis, Investigation, Writing – Original Draft, Writing – Review &amp; Editing. Yongyu Bai: Conceptualization, Methodology, Validation, Investigation, Writing – Review &amp; Editing. Qigang Xue: Investigation, Data Curation, Writing – Review &amp; Editing. Zhuxian Zhou: Methodology, Supervision, Writing – Review &amp; Editing. Shaoliang Han: Conceptualization, Supervision, Project Administration, Funding Acquisition, Writing – Review &amp; Editing. Zhuha Zhou and Yongyu Bai contributed equally to this work. All authors read and approved the final manuscript.</w:t>
      </w:r>
    </w:p>
    <w:bookmarkEnd w:id="41"/>
    <w:bookmarkStart w:id="42" w:name="competing-interests"/>
    <w:p>
      <w:pPr>
        <w:pStyle w:val="Heading3"/>
      </w:pPr>
      <w:r>
        <w:t xml:space="preserve">Competing Interests</w:t>
      </w:r>
    </w:p>
    <w:p>
      <w:pPr>
        <w:pStyle w:val="FirstParagraph"/>
      </w:pPr>
      <w:r>
        <w:t xml:space="preserve">The authors declare that they have no competing interests.</w:t>
      </w:r>
    </w:p>
    <w:bookmarkEnd w:id="42"/>
    <w:bookmarkStart w:id="43" w:name="Xd182db0490b2de20bd2b4e4cc8698599182035f"/>
    <w:p>
      <w:pPr>
        <w:pStyle w:val="Heading3"/>
      </w:pPr>
      <w:r>
        <w:t xml:space="preserve">Ethics Approval and Consent to Participate</w:t>
      </w:r>
    </w:p>
    <w:p>
      <w:pPr>
        <w:pStyle w:val="FirstParagraph"/>
      </w:pPr>
      <w:r>
        <w:t xml:space="preserve">Not applicable.</w:t>
      </w:r>
    </w:p>
    <w:p>
      <w:r>
        <w:pict>
          <v:rect style="width:0;height:1.5pt" o:hralign="center" o:hrstd="t" o:hr="t"/>
        </w:pict>
      </w:r>
    </w:p>
    <w:bookmarkEnd w:id="43"/>
    <w:bookmarkEnd w:id="44"/>
    <w:bookmarkStart w:id="45" w:name="author-biographies"/>
    <w:p>
      <w:pPr>
        <w:pStyle w:val="Heading2"/>
      </w:pPr>
      <w:r>
        <w:t xml:space="preserve">Author Biographies</w:t>
      </w:r>
    </w:p>
    <w:p>
      <w:pPr>
        <w:pStyle w:val="FirstParagraph"/>
      </w:pPr>
      <w:r>
        <w:rPr>
          <w:b/>
          <w:bCs/>
        </w:rPr>
        <w:t xml:space="preserve">Zhuha Zhou</w:t>
      </w:r>
      <w:r>
        <w:t xml:space="preserve"> </w:t>
      </w:r>
      <w:r>
        <w:t xml:space="preserve">is a surgeon-researcher in the Department of Gastroenterology Surgery at The First Affiliated Hospital of Wenzhou Medical University. His research focuses on gastrointestinal cancer surgery and computational approaches to cancer immunotherapy.</w:t>
      </w:r>
    </w:p>
    <w:p>
      <w:pPr>
        <w:pStyle w:val="BodyText"/>
      </w:pPr>
      <w:r>
        <w:rPr>
          <w:b/>
          <w:bCs/>
        </w:rPr>
        <w:t xml:space="preserve">Yongyu Bai</w:t>
      </w:r>
      <w:r>
        <w:t xml:space="preserve"> </w:t>
      </w:r>
      <w:r>
        <w:t xml:space="preserve">is a surgeon-researcher in the Department of Gastroenterology Surgery at The First Affiliated Hospital of Wenzhou Medical University. His research interests include gastrointestinal oncology and immunoinformatics.</w:t>
      </w:r>
    </w:p>
    <w:p>
      <w:pPr>
        <w:pStyle w:val="BodyText"/>
      </w:pPr>
      <w:r>
        <w:rPr>
          <w:b/>
          <w:bCs/>
        </w:rPr>
        <w:t xml:space="preserve">Qigang Xue</w:t>
      </w:r>
      <w:r>
        <w:t xml:space="preserve"> </w:t>
      </w:r>
      <w:r>
        <w:t xml:space="preserve">is a surgeon in the Department of Hepatobiliary and Pancreatic Surgery at The First Affiliated Hospital of Wenzhou Medical University. His research focuses on hepatobiliary and pancreatic cancer.</w:t>
      </w:r>
    </w:p>
    <w:p>
      <w:pPr>
        <w:pStyle w:val="BodyText"/>
      </w:pPr>
      <w:r>
        <w:rPr>
          <w:b/>
          <w:bCs/>
        </w:rPr>
        <w:t xml:space="preserve">Zhuxian Zhou</w:t>
      </w:r>
      <w:r>
        <w:t xml:space="preserve"> </w:t>
      </w:r>
      <w:r>
        <w:t xml:space="preserve">is a researcher at the Center for Bionanoengineering, College of Chemical and Biological Engineering, Zhejiang University. His research interests include nanomedicine and bioengineering approaches for drug delivery.</w:t>
      </w:r>
    </w:p>
    <w:p>
      <w:pPr>
        <w:pStyle w:val="BodyText"/>
      </w:pPr>
      <w:r>
        <w:rPr>
          <w:b/>
          <w:bCs/>
        </w:rPr>
        <w:t xml:space="preserve">Shaoliang Han</w:t>
      </w:r>
      <w:r>
        <w:t xml:space="preserve"> </w:t>
      </w:r>
      <w:r>
        <w:t xml:space="preserve">is a professor and surgeon in the Department of Gastroenterology Surgery at The First Affiliated Hospital of Wenzhou Medical University. His research focuses on gastrointestinal cancer surgery, translational oncology, and computational methods in surgical oncology.</w:t>
      </w:r>
    </w:p>
    <w:p>
      <w:r>
        <w:pict>
          <v:rect style="width:0;height:1.5pt" o:hralign="center" o:hrstd="t" o:hr="t"/>
        </w:pict>
      </w:r>
    </w:p>
    <w:bookmarkEnd w:id="45"/>
    <w:bookmarkStart w:id="46" w:name="references"/>
    <w:p>
      <w:pPr>
        <w:pStyle w:val="Heading2"/>
      </w:pPr>
      <w:r>
        <w:t xml:space="preserve">References</w:t>
      </w:r>
    </w:p>
    <w:p>
      <w:pPr>
        <w:pStyle w:val="Compact"/>
        <w:numPr>
          <w:ilvl w:val="0"/>
          <w:numId w:val="1002"/>
        </w:numPr>
      </w:pPr>
      <w:r>
        <w:t xml:space="preserve">Neefjes J, Jongsma MLM, Paul P, et al. Towards a systems understanding of MHC class I and MHC class II antigen presentation. Nat Rev Immunol 2011;11:823-836.</w:t>
      </w:r>
    </w:p>
    <w:p>
      <w:pPr>
        <w:pStyle w:val="Compact"/>
        <w:numPr>
          <w:ilvl w:val="0"/>
          <w:numId w:val="1002"/>
        </w:numPr>
      </w:pPr>
      <w:r>
        <w:t xml:space="preserve">Blum JS, Wearsch PA, Cresswell P. Pathways of antigen processing. Annu Rev Immunol 2013;31:443-473.</w:t>
      </w:r>
    </w:p>
    <w:p>
      <w:pPr>
        <w:pStyle w:val="Compact"/>
        <w:numPr>
          <w:ilvl w:val="0"/>
          <w:numId w:val="1002"/>
        </w:numPr>
      </w:pPr>
      <w:r>
        <w:t xml:space="preserve">Falk K, Rotzschke O, Stevanovic S, et al. Allele-specific motifs revealed by sequencing of self-peptides eluted from MHC molecules. Nature 1991;351:290-296.</w:t>
      </w:r>
    </w:p>
    <w:p>
      <w:pPr>
        <w:pStyle w:val="Compact"/>
        <w:numPr>
          <w:ilvl w:val="0"/>
          <w:numId w:val="1002"/>
        </w:numPr>
      </w:pPr>
      <w:r>
        <w:t xml:space="preserve">Madden DR. The three-dimensional structure of peptide-MHC complexes. Annu Rev Immunol 1995;13:587-622.</w:t>
      </w:r>
    </w:p>
    <w:p>
      <w:pPr>
        <w:pStyle w:val="Compact"/>
        <w:numPr>
          <w:ilvl w:val="0"/>
          <w:numId w:val="1002"/>
        </w:numPr>
      </w:pPr>
      <w:r>
        <w:t xml:space="preserve">Ruppert J, Sidney J, Celis E, et al. Prominent role of secondary anchor residues in peptide binding to HLA-A2.1 molecules. Cell 1993;74:929-937.</w:t>
      </w:r>
    </w:p>
    <w:p>
      <w:pPr>
        <w:pStyle w:val="Compact"/>
        <w:numPr>
          <w:ilvl w:val="0"/>
          <w:numId w:val="1002"/>
        </w:numPr>
      </w:pPr>
      <w:r>
        <w:t xml:space="preserve">Rammensee HG, Friede T, Stevanovic S. MHC ligands and peptide motifs: first listing. Immunogenetics 1995;41:178-228.</w:t>
      </w:r>
    </w:p>
    <w:p>
      <w:pPr>
        <w:pStyle w:val="Compact"/>
        <w:numPr>
          <w:ilvl w:val="0"/>
          <w:numId w:val="1002"/>
        </w:numPr>
      </w:pPr>
      <w:r>
        <w:t xml:space="preserve">Lundegaard C, Lund O, Nielsen M. State of the art and challenges in sequence based T-cell epitope prediction. Immunome Res 2011;6(Suppl 2):S3.</w:t>
      </w:r>
    </w:p>
    <w:p>
      <w:pPr>
        <w:pStyle w:val="Compact"/>
        <w:numPr>
          <w:ilvl w:val="0"/>
          <w:numId w:val="1002"/>
        </w:numPr>
      </w:pPr>
      <w:r>
        <w:t xml:space="preserve">Backert L, Kohlbacher O. Immunoinformatics and epitope prediction in the age of genomic medicine. Genome Med 2015;7:119.</w:t>
      </w:r>
    </w:p>
    <w:p>
      <w:pPr>
        <w:pStyle w:val="Compact"/>
        <w:numPr>
          <w:ilvl w:val="0"/>
          <w:numId w:val="1002"/>
        </w:numPr>
      </w:pPr>
      <w:r>
        <w:t xml:space="preserve">Parker KC, Bednarek MA, Coligan JE. Scheme for ranking potential HLA-A2 binding peptides based on independent binding of individual peptide side-chains. J Immunol 1994;152:163-175.</w:t>
      </w:r>
    </w:p>
    <w:p>
      <w:pPr>
        <w:pStyle w:val="Compact"/>
        <w:numPr>
          <w:ilvl w:val="0"/>
          <w:numId w:val="1002"/>
        </w:numPr>
      </w:pPr>
      <w:r>
        <w:t xml:space="preserve">Rammensee HG, Bachmann J, Emmerich NPN, et al. SYFPEITHI: database for MHC ligands and peptide motifs. Immunogenetics 1999;50:213-219.</w:t>
      </w:r>
    </w:p>
    <w:p>
      <w:pPr>
        <w:pStyle w:val="Compact"/>
        <w:numPr>
          <w:ilvl w:val="0"/>
          <w:numId w:val="1002"/>
        </w:numPr>
      </w:pPr>
      <w:r>
        <w:t xml:space="preserve">Nielsen M, Lundegaard C, Worning P, et al. Reliable prediction of T-cell epitopes using neural networks with novel sequence representations. Protein Sci 2003;12:1007-1017.</w:t>
      </w:r>
    </w:p>
    <w:p>
      <w:pPr>
        <w:pStyle w:val="Compact"/>
        <w:numPr>
          <w:ilvl w:val="0"/>
          <w:numId w:val="1002"/>
        </w:numPr>
      </w:pPr>
      <w:r>
        <w:t xml:space="preserve">Hoof I, Peters B, Sidney J, et al. NetMHCpan, a method for MHC class I binding prediction beyond humans. Immunogenetics 2009;61:1-13.</w:t>
      </w:r>
    </w:p>
    <w:p>
      <w:pPr>
        <w:pStyle w:val="Compact"/>
        <w:numPr>
          <w:ilvl w:val="0"/>
          <w:numId w:val="1002"/>
        </w:numPr>
      </w:pPr>
      <w:r>
        <w:t xml:space="preserve">Reynisson B, Alvarez B, Paul S, et al. NetMHCpan-4.1 and NetMHCIIpan-4.0: improved predictions of MHC antigen presentation by concurrent motif deconvolution and integration of MS MHC eluted ligand data. Nucleic Acids Res 2020;48:W449-W454.</w:t>
      </w:r>
    </w:p>
    <w:p>
      <w:pPr>
        <w:pStyle w:val="Compact"/>
        <w:numPr>
          <w:ilvl w:val="0"/>
          <w:numId w:val="1002"/>
        </w:numPr>
      </w:pPr>
      <w:r>
        <w:t xml:space="preserve">O’Donnell TJ, Rubinsteyn A, Bonsack M, et al. MHCflurry: open-source class I MHC binding affinity prediction. Cell Syst 2018;7:129-132.</w:t>
      </w:r>
    </w:p>
    <w:p>
      <w:pPr>
        <w:pStyle w:val="Compact"/>
        <w:numPr>
          <w:ilvl w:val="0"/>
          <w:numId w:val="1002"/>
        </w:numPr>
      </w:pPr>
      <w:r>
        <w:t xml:space="preserve">O’Donnell TJ, Rubinsteyn A, Laserson U. MHCflurry 2.0: improved pan-allele prediction of MHC class I-presented peptides by incorporating antigen processing. Cell Syst 2020;11:42-48.</w:t>
      </w:r>
    </w:p>
    <w:p>
      <w:pPr>
        <w:pStyle w:val="Compact"/>
        <w:numPr>
          <w:ilvl w:val="0"/>
          <w:numId w:val="1002"/>
        </w:numPr>
      </w:pPr>
      <w:r>
        <w:t xml:space="preserve">Albert BA, Yang Y, Shao XM, et al. BigMHC: deep learning-based prediction of MHC-I epitope presentation. bioRxiv 2023.</w:t>
      </w:r>
    </w:p>
    <w:p>
      <w:pPr>
        <w:pStyle w:val="Compact"/>
        <w:numPr>
          <w:ilvl w:val="0"/>
          <w:numId w:val="1002"/>
        </w:numPr>
      </w:pPr>
      <w:r>
        <w:t xml:space="preserve">Chen B, Khodadoust MS, Olsson N, et al. MUNIS: a deep learning model for predicting MHC-I epitope presentation. Nat Biotechnol 2025;43:123-132.</w:t>
      </w:r>
    </w:p>
    <w:p>
      <w:pPr>
        <w:pStyle w:val="Compact"/>
        <w:numPr>
          <w:ilvl w:val="0"/>
          <w:numId w:val="1002"/>
        </w:numPr>
      </w:pPr>
      <w:r>
        <w:t xml:space="preserve">Rives A, Meier J, Sercu T, et al. Biological structure and function emerge from scaling unsupervised learning to 250 million protein sequences. Proc Natl Acad Sci USA 2021;118:e2016239118.</w:t>
      </w:r>
    </w:p>
    <w:p>
      <w:pPr>
        <w:pStyle w:val="Compact"/>
        <w:numPr>
          <w:ilvl w:val="0"/>
          <w:numId w:val="1002"/>
        </w:numPr>
      </w:pPr>
      <w:r>
        <w:t xml:space="preserve">Oluwagbemi O, Oladipo E, Dairo E, et al. AI-driven epitope prediction: a systematic review, comparative analysis, and practical guide for vaccine development. npj Vaccines 2025;10:258.</w:t>
      </w:r>
    </w:p>
    <w:p>
      <w:pPr>
        <w:pStyle w:val="Compact"/>
        <w:numPr>
          <w:ilvl w:val="0"/>
          <w:numId w:val="1002"/>
        </w:numPr>
      </w:pPr>
      <w:r>
        <w:t xml:space="preserve">Qi J, Zhang L, Chen K, et al. A roadmap for T cell receptor-peptide-bound major histocompatibility complex binding prediction by machine learning: glimpse and foresight. Brief Bioinform 2025;26:bbag032.</w:t>
      </w:r>
    </w:p>
    <w:p>
      <w:pPr>
        <w:pStyle w:val="Compact"/>
        <w:numPr>
          <w:ilvl w:val="0"/>
          <w:numId w:val="1002"/>
        </w:numPr>
      </w:pPr>
      <w:r>
        <w:t xml:space="preserve">Jessen LE. Deep learning for cancer immunotherapy. RStudio AI Blog 2018.</w:t>
      </w:r>
    </w:p>
    <w:p>
      <w:pPr>
        <w:pStyle w:val="Compact"/>
        <w:numPr>
          <w:ilvl w:val="0"/>
          <w:numId w:val="1002"/>
        </w:numPr>
      </w:pPr>
      <w:r>
        <w:t xml:space="preserve">Vita R, Mahajan S, Overton JA, et al. The Immune Epitope Database (IEDB): 2018 update. Nucleic Acids Res 2019;47:D339-D343.</w:t>
      </w:r>
    </w:p>
    <w:p>
      <w:pPr>
        <w:pStyle w:val="Compact"/>
        <w:numPr>
          <w:ilvl w:val="0"/>
          <w:numId w:val="1002"/>
        </w:numPr>
      </w:pPr>
      <w:r>
        <w:t xml:space="preserve">Henikoff S, Henikoff JG. Amino acid substitution matrices from protein blocks. Proc Natl Acad Sci USA 1992;89:10915-10919.</w:t>
      </w:r>
    </w:p>
    <w:p>
      <w:pPr>
        <w:pStyle w:val="Compact"/>
        <w:numPr>
          <w:ilvl w:val="0"/>
          <w:numId w:val="1002"/>
        </w:numPr>
      </w:pPr>
      <w:r>
        <w:t xml:space="preserve">Robin X, Turck N, Hainard A, et al. pROC: an open-source package for R and S+ to analyze and compare ROC curves. BMC Bioinformatics 2011;12:77.</w:t>
      </w:r>
    </w:p>
    <w:p>
      <w:pPr>
        <w:pStyle w:val="Compact"/>
        <w:numPr>
          <w:ilvl w:val="0"/>
          <w:numId w:val="1002"/>
        </w:numPr>
      </w:pPr>
      <w:r>
        <w:t xml:space="preserve">Sette A, Vitiello A, Reherman B, et al. The relationship between class I binding affinity and immunogenicity of potential cytotoxic T cell epitopes. J Immunol 1994;153:5586-5592.</w:t>
      </w:r>
    </w:p>
    <w:p>
      <w:pPr>
        <w:pStyle w:val="Compact"/>
        <w:numPr>
          <w:ilvl w:val="0"/>
          <w:numId w:val="1002"/>
        </w:numPr>
      </w:pPr>
      <w:r>
        <w:t xml:space="preserve">Canon J, Rex K, Saiki AY, et al. The clinical KRAS(G12C) inhibitor AMG 510 drives anti-tumour immunity. Nature 2019;575:217-223.</w:t>
      </w:r>
    </w:p>
    <w:p>
      <w:pPr>
        <w:pStyle w:val="Compact"/>
        <w:numPr>
          <w:ilvl w:val="0"/>
          <w:numId w:val="1002"/>
        </w:numPr>
      </w:pPr>
      <w:r>
        <w:t xml:space="preserve">Hallin J, Engstrom LD, Hargis L, et al. The KRAS G12C inhibitor MRTX849 provides insight toward therapeutic susceptibility of KRAS-mutant cancers in mouse models and patients. Cancer Discov 2020;10:54-71.</w:t>
      </w:r>
    </w:p>
    <w:p>
      <w:pPr>
        <w:pStyle w:val="Compact"/>
        <w:numPr>
          <w:ilvl w:val="0"/>
          <w:numId w:val="1002"/>
        </w:numPr>
      </w:pPr>
      <w:r>
        <w:t xml:space="preserve">Krizhevsky A, Sutskever I, Hinton GE. ImageNet classification with deep convolutional neural networks. Adv Neural Inf Process Syst 2012;25:1097-1105.</w:t>
      </w:r>
    </w:p>
    <w:p>
      <w:pPr>
        <w:pStyle w:val="Compact"/>
        <w:numPr>
          <w:ilvl w:val="0"/>
          <w:numId w:val="1002"/>
        </w:numPr>
      </w:pPr>
      <w:r>
        <w:t xml:space="preserve">He K, Zhang X, Ren S, et al. Deep residual learning for image recognition. Proc IEEE Conf Comput Vis Pattern Recognit 2016:770-778.</w:t>
      </w:r>
    </w:p>
    <w:p>
      <w:pPr>
        <w:pStyle w:val="Compact"/>
        <w:numPr>
          <w:ilvl w:val="0"/>
          <w:numId w:val="1002"/>
        </w:numPr>
      </w:pPr>
      <w:r>
        <w:t xml:space="preserve">Chelvanayagam G. A roadmap for HLA-A, HLA-B, and HLA-C peptide binding specificities. Immunogenetics 1996;45:15-26.</w:t>
      </w:r>
    </w:p>
    <w:p>
      <w:pPr>
        <w:pStyle w:val="Compact"/>
        <w:numPr>
          <w:ilvl w:val="0"/>
          <w:numId w:val="1002"/>
        </w:numPr>
      </w:pPr>
      <w:r>
        <w:t xml:space="preserve">Preibisch J, Becker JP, Kohlbacher O. Resolution of recursive data corruption to transform T-cell epitope discovery. bioRxiv 2026.</w:t>
      </w:r>
    </w:p>
    <w:p>
      <w:pPr>
        <w:pStyle w:val="Compact"/>
        <w:numPr>
          <w:ilvl w:val="0"/>
          <w:numId w:val="1002"/>
        </w:numPr>
      </w:pPr>
      <w:r>
        <w:t xml:space="preserve">Harndahl M, Rasmussen M, Roder G, et al. Peptide-MHC class I stability is a better predictor than peptide affinity of CTL immunogenicity. Eur J Immunol 2012;42:1405-1416.</w:t>
      </w:r>
    </w:p>
    <w:p>
      <w:pPr>
        <w:pStyle w:val="Compact"/>
        <w:numPr>
          <w:ilvl w:val="0"/>
          <w:numId w:val="1002"/>
        </w:numPr>
      </w:pPr>
      <w:r>
        <w:t xml:space="preserve">Jumper J, Evans R, Pritzel A, et al. Highly accurate protein structure prediction with AlphaFold. Nature 2021;596:583-589.</w:t>
      </w:r>
    </w:p>
    <w:p>
      <w:pPr>
        <w:pStyle w:val="Compact"/>
        <w:numPr>
          <w:ilvl w:val="0"/>
          <w:numId w:val="1002"/>
        </w:numPr>
      </w:pPr>
      <w:r>
        <w:t xml:space="preserve">Jorgensen KW, Rasmussen M, Buus S, et al. NetMHCstab – predicting stability of peptide-MHC-I complexes; impacts for cytotoxic T lymphocyte epitope discovery. Immunology 2014;141:18-26.</w:t>
      </w:r>
    </w:p>
    <w:p>
      <w:pPr>
        <w:pStyle w:val="Compact"/>
        <w:numPr>
          <w:ilvl w:val="0"/>
          <w:numId w:val="1002"/>
        </w:numPr>
      </w:pPr>
      <w:r>
        <w:t xml:space="preserve">Wells DK, van Buuren MM, Dang KK, et al. Key parameters of tumor epitope immunogenicity revealed through a consortium approach improve neoantigen prediction. Cell 2020;183:818-834.</w:t>
      </w:r>
    </w:p>
    <w:p>
      <w:pPr>
        <w:pStyle w:val="Compact"/>
        <w:numPr>
          <w:ilvl w:val="0"/>
          <w:numId w:val="1002"/>
        </w:numPr>
      </w:pPr>
      <w:r>
        <w:t xml:space="preserve">Zaghla N, Loffler MW, Kowalewski DJ. Systematic evaluation of (neo)epitope predictions and their correlation with clinically observed T-cell responses and immune evasion mechanisms. PhD Thesis, FU Berlin 2025.</w:t>
      </w:r>
    </w:p>
    <w:p>
      <w:pPr>
        <w:pStyle w:val="Compact"/>
        <w:numPr>
          <w:ilvl w:val="0"/>
          <w:numId w:val="1002"/>
        </w:numPr>
      </w:pPr>
      <w:r>
        <w:t xml:space="preserve">Zeng J, Li Y, Wang H, et al. Leveraging artificial intelligence for neoantigen prediction. Cancer Res 2025;85:2512-2525.</w:t>
      </w:r>
    </w:p>
    <w:p>
      <w:pPr>
        <w:pStyle w:val="Compact"/>
        <w:numPr>
          <w:ilvl w:val="0"/>
          <w:numId w:val="1002"/>
        </w:numPr>
      </w:pPr>
      <w:r>
        <w:t xml:space="preserve">Nielsen M, Lundegaard C, Lund O, et al. The role of the proteasome in generating cytotoxic T-cell epitopes: insights obtained from improved predictions of proteasomal cleavage. Immunogenetics 2005;57:33-41.</w:t>
      </w:r>
    </w:p>
    <w:p>
      <w:pPr>
        <w:pStyle w:val="Compact"/>
        <w:numPr>
          <w:ilvl w:val="0"/>
          <w:numId w:val="1002"/>
        </w:numPr>
      </w:pPr>
      <w:r>
        <w:t xml:space="preserve">Peters B, Bulik S, Tampe R, et al. Identifying MHC class I epitopes by predicting the TAP transport efficiency of epitope precursors. J Immunol 2003;171:1741-1749.</w:t>
      </w:r>
    </w:p>
    <w:p>
      <w:pPr>
        <w:pStyle w:val="Compact"/>
        <w:numPr>
          <w:ilvl w:val="0"/>
          <w:numId w:val="1002"/>
        </w:numPr>
      </w:pPr>
      <w:r>
        <w:t xml:space="preserve">Zhao H, Bhatt A, Cooper L, et al. UniPMT: a unified deep learning framework for peptide-MHC-TCR binding prediction. Nat Mach Intell 2025;7:234-243.</w:t>
      </w:r>
    </w:p>
    <w:p>
      <w:pPr>
        <w:pStyle w:val="Compact"/>
        <w:numPr>
          <w:ilvl w:val="0"/>
          <w:numId w:val="1002"/>
        </w:numPr>
      </w:pPr>
      <w:r>
        <w:t xml:space="preserve">Bouaoun L, Sonberath D, Ardin M, et al. TP53 variations in human cancers: new lessons from the IARC TP53 database and genomics data. Hum Mutat 2016;37:865-876.</w:t>
      </w:r>
    </w:p>
    <w:p>
      <w:pPr>
        <w:pStyle w:val="Compact"/>
        <w:numPr>
          <w:ilvl w:val="0"/>
          <w:numId w:val="1002"/>
        </w:numPr>
      </w:pPr>
      <w:r>
        <w:t xml:space="preserve">Muller PAJ, Vousden KH. Mutant p53 in cancer: new functions and therapeutic opportunities. Cancer Cell 2014;25:304-317.</w:t>
      </w:r>
    </w:p>
    <w:p>
      <w:pPr>
        <w:pStyle w:val="Compact"/>
        <w:numPr>
          <w:ilvl w:val="0"/>
          <w:numId w:val="1002"/>
        </w:numPr>
      </w:pPr>
      <w:r>
        <w:t xml:space="preserve">Stranzl T, Larsen MV, Lundegaard C, et al. NetCTLpan: pan-specific MHC class I pathway epitope predictions. Immunogenetics 2010;62:357-368.</w:t>
      </w:r>
    </w:p>
    <w:p>
      <w:r>
        <w:pict>
          <v:rect style="width:0;height:1.5pt" o:hralign="center" o:hrstd="t" o:hr="t"/>
        </w:pict>
      </w:r>
    </w:p>
    <w:bookmarkEnd w:id="46"/>
    <w:bookmarkStart w:id="47" w:name="figure-legends"/>
    <w:p>
      <w:pPr>
        <w:pStyle w:val="Heading2"/>
      </w:pPr>
      <w:r>
        <w:t xml:space="preserve">Figure Legends</w:t>
      </w:r>
    </w:p>
    <w:p>
      <w:pPr>
        <w:pStyle w:val="FirstParagraph"/>
      </w:pPr>
      <w:r>
        <w:rPr>
          <w:b/>
          <w:bCs/>
        </w:rPr>
        <w:t xml:space="preserve">Figure 1.</w:t>
      </w:r>
      <w:r>
        <w:t xml:space="preserve"> </w:t>
      </w:r>
      <w:r>
        <w:t xml:space="preserve">Model performance comparison across six architectures. (A) Accuracy and Macro F1 scores on MHCflurry-labeled test set. (B) Per-class F1 breakdown for the best-performing Deep FFN model.</w:t>
      </w:r>
    </w:p>
    <w:p>
      <w:pPr>
        <w:pStyle w:val="BodyText"/>
      </w:pPr>
      <w:r>
        <w:rPr>
          <w:b/>
          <w:bCs/>
        </w:rPr>
        <w:t xml:space="preserve">Figure 2.</w:t>
      </w:r>
      <w:r>
        <w:t xml:space="preserve"> </w:t>
      </w:r>
      <w:r>
        <w:t xml:space="preserve">Effect of labeling strategy on model performance. PSSM labels (94.8%), MHCflurry labels (91.9%), and random synthetic labels (65.8%). Note the concentration of performance degradation in the WB class.</w:t>
      </w:r>
    </w:p>
    <w:p>
      <w:pPr>
        <w:pStyle w:val="BodyText"/>
      </w:pPr>
      <w:r>
        <w:rPr>
          <w:b/>
          <w:bCs/>
        </w:rPr>
        <w:t xml:space="preserve">Figure 3.</w:t>
      </w:r>
      <w:r>
        <w:t xml:space="preserve"> </w:t>
      </w:r>
      <w:r>
        <w:t xml:space="preserve">IEDB benchmark results. (A) ROC curve showing AUC 0.947. (B) Confusion matrix with counts and row percentages. (C) Per-epitope binding scores color-coded by prediction outcome.</w:t>
      </w:r>
    </w:p>
    <w:p>
      <w:pPr>
        <w:pStyle w:val="BodyText"/>
      </w:pPr>
      <w:r>
        <w:rPr>
          <w:b/>
          <w:bCs/>
        </w:rPr>
        <w:t xml:space="preserve">Figure 4.</w:t>
      </w:r>
      <w:r>
        <w:t xml:space="preserve"> </w:t>
      </w:r>
      <w:r>
        <w:t xml:space="preserve">Protein epitope scanning summary. (A) SB/WB/NB distribution across 10 proteins. (B) Top 10 epitope candidates ranked by binding score.</w:t>
      </w:r>
    </w:p>
    <w:p>
      <w:pPr>
        <w:pStyle w:val="BodyText"/>
      </w:pPr>
      <w:r>
        <w:rPr>
          <w:b/>
          <w:bCs/>
        </w:rPr>
        <w:t xml:space="preserve">Figure 5.</w:t>
      </w:r>
      <w:r>
        <w:t xml:space="preserve"> </w:t>
      </w:r>
      <w:r>
        <w:t xml:space="preserve">Cancer hotspot mutation analysis. (A) Delta score bar chart for 7 epitope-altering mutations. (B) Wild-type vs. mutant paired binding scores. (C) Mutation map of p53 and KRAS showing epitope-altering positions.</w:t>
      </w:r>
    </w:p>
    <w:p>
      <w:pPr>
        <w:pStyle w:val="BodyText"/>
      </w:pPr>
      <w:r>
        <w:rPr>
          <w:b/>
          <w:bCs/>
        </w:rPr>
        <w:t xml:space="preserve">Figure 6.</w:t>
      </w:r>
      <w:r>
        <w:t xml:space="preserve"> </w:t>
      </w:r>
      <w:r>
        <w:t xml:space="preserve">Learned feature representations. (A) BLOSUM62 encoding heatmaps (HOT colormap) for top 20 epitopes. (B) Clustered heatmap of 90-dimensional learned features. (C) Feature-binding score correlation.</w:t>
      </w:r>
    </w:p>
    <w:p>
      <w:pPr>
        <w:pStyle w:val="BodyText"/>
      </w:pPr>
      <w:r>
        <w:rPr>
          <w:b/>
          <w:bCs/>
        </w:rPr>
        <w:t xml:space="preserve">Figure S1.</w:t>
      </w:r>
      <w:r>
        <w:t xml:space="preserve"> </w:t>
      </w:r>
      <w:r>
        <w:t xml:space="preserve">5-fold cross-validation fold-by-fold accuracy comparison.</w:t>
      </w:r>
    </w:p>
    <w:p>
      <w:pPr>
        <w:pStyle w:val="BodyText"/>
      </w:pPr>
      <w:r>
        <w:rPr>
          <w:b/>
          <w:bCs/>
        </w:rPr>
        <w:t xml:space="preserve">Figure S2.</w:t>
      </w:r>
      <w:r>
        <w:t xml:space="preserve"> </w:t>
      </w:r>
      <w:r>
        <w:t xml:space="preserve">Full IEDB benchmark per-epitope prediction table.</w:t>
      </w:r>
    </w:p>
    <w:p>
      <w:pPr>
        <w:pStyle w:val="BodyText"/>
      </w:pPr>
      <w:r>
        <w:rPr>
          <w:b/>
          <w:bCs/>
        </w:rPr>
        <w:t xml:space="preserve">Figure S3.</w:t>
      </w:r>
      <w:r>
        <w:t xml:space="preserve"> </w:t>
      </w:r>
      <w:r>
        <w:t xml:space="preserve">Per-protein epitope scan results for all 10 proteins.</w:t>
      </w:r>
    </w:p>
    <w:p>
      <w:pPr>
        <w:pStyle w:val="BodyText"/>
      </w:pPr>
      <w:r>
        <w:rPr>
          <w:b/>
          <w:bCs/>
        </w:rPr>
        <w:t xml:space="preserve">Figure S4.</w:t>
      </w:r>
      <w:r>
        <w:t xml:space="preserve"> </w:t>
      </w:r>
      <w:r>
        <w:t xml:space="preserve">Training history (loss and accuracy) for all neural network models.</w:t>
      </w:r>
    </w:p>
    <w:p>
      <w:pPr>
        <w:pStyle w:val="BodyText"/>
      </w:pPr>
      <w:r>
        <w:rPr>
          <w:b/>
          <w:bCs/>
        </w:rPr>
        <w:t xml:space="preserve">Figure S5.</w:t>
      </w:r>
      <w:r>
        <w:t xml:space="preserve"> </w:t>
      </w:r>
      <w:r>
        <w:t xml:space="preserve">BLOSUM62 encoding images for all 20 benchmark epitopes.</w:t>
      </w:r>
    </w:p>
    <w:p>
      <w:r>
        <w:pict>
          <v:rect style="width:0;height:1.5pt" o:hralign="center" o:hrstd="t" o:hr="t"/>
        </w:pict>
      </w:r>
    </w:p>
    <w:bookmarkEnd w:id="47"/>
    <w:bookmarkStart w:id="48" w:name="supplementary-material"/>
    <w:p>
      <w:pPr>
        <w:pStyle w:val="Heading2"/>
      </w:pPr>
      <w:r>
        <w:t xml:space="preserve">Supplementary Material</w:t>
      </w:r>
    </w:p>
    <w:p>
      <w:pPr>
        <w:pStyle w:val="FirstParagraph"/>
      </w:pPr>
      <w:r>
        <w:t xml:space="preserve">The complete data package (</w:t>
      </w:r>
      <w:r>
        <w:rPr>
          <w:rStyle w:val="VerbatimChar"/>
        </w:rPr>
        <w:t xml:space="preserve">manuscript_data_package.tar.gz</w:t>
      </w:r>
      <w:r>
        <w:t xml:space="preserve">) contains: (1) all trained model files (HDF5/RDS format); (2) feature matrices in CSV format (</w:t>
      </w:r>
      <w:r>
        <w:rPr>
          <w:rStyle w:val="VerbatimChar"/>
        </w:rPr>
        <w:t xml:space="preserve">feature.csv</w:t>
      </w:r>
      <w:r>
        <w:t xml:space="preserve">, 5,088 x 282;</w:t>
      </w:r>
      <w:r>
        <w:t xml:space="preserve"> </w:t>
      </w:r>
      <w:r>
        <w:rPr>
          <w:rStyle w:val="VerbatimChar"/>
        </w:rPr>
        <w:t xml:space="preserve">feature_resnet.csv</w:t>
      </w:r>
      <w:r>
        <w:t xml:space="preserve">, 5,088 x 315); (3) comprehensive prediction results for 10-protein epitope scan (3,536 peptides), IEDB benchmark (69 peptides), cancer mutation scan (144 windows), and new peptide predictions; (4) reproducible R and Python source code; (5) all publication-quality figures in PNG format.</w:t>
      </w:r>
    </w:p>
    <w:p>
      <w:r>
        <w:pict>
          <v:rect style="width:0;height:1.5pt" o:hralign="center" o:hrstd="t" o:hr="t"/>
        </w:pict>
      </w:r>
    </w:p>
    <w:p>
      <w:pPr>
        <w:pStyle w:val="FirstParagraph"/>
      </w:pPr>
      <w:r>
        <w:rPr>
          <w:i/>
          <w:iCs/>
        </w:rPr>
        <w:t xml:space="preserve">Manuscript prepared for Briefings in Bioinformatics. Date: June 15, 2026.</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2026-06-14T22:15:56Z</dcterms:created>
  <dcterms:modified xsi:type="dcterms:W3CDTF">2026-06-14T22:15:56Z</dcterms:modified>
</cp:coreProperties>
</file>

<file path=docProps/custom.xml><?xml version="1.0" encoding="utf-8"?>
<Properties xmlns="http://schemas.openxmlformats.org/officeDocument/2006/custom-properties" xmlns:vt="http://schemas.openxmlformats.org/officeDocument/2006/docPropsVTypes"/>
</file>