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da435178cff79622b1a4674d829b1e1b7425b2"/>
    <w:p>
      <w:pPr>
        <w:pStyle w:val="Heading1"/>
      </w:pPr>
      <w:r>
        <w:t xml:space="preserve">Deep Learning for Peptide-MHC Binding Prediction: ESM-2 Embeddings Surpass BLOSUM62 and Structural Docking Identifies a K-E63 Salt Bridge in KRAS G12V Neoepitope Presentation</w:t>
      </w:r>
    </w:p>
    <w:p>
      <w:pPr>
        <w:pStyle w:val="FirstParagraph"/>
      </w:pPr>
      <w:r>
        <w:rPr>
          <w:b/>
          <w:bCs/>
        </w:rPr>
        <w:t xml:space="preserve">Running head</w:t>
      </w:r>
      <w:r>
        <w:t xml:space="preserve">: Deep Learning for Peptide-MHC Binding Prediction</w:t>
      </w:r>
    </w:p>
    <w:p>
      <w:pPr>
        <w:pStyle w:val="BodyText"/>
      </w:pPr>
      <w:r>
        <w:rPr>
          <w:b/>
          <w:bCs/>
        </w:rPr>
        <w:t xml:space="preserve">Authors</w:t>
      </w:r>
      <w:r>
        <w:t xml:space="preserve">: Zhuha Zhou</w:t>
      </w:r>
      <w:r>
        <w:t xml:space="preserve">1,([Dagger]),*</w:t>
      </w:r>
      <w:r>
        <w:t xml:space="preserve">, Yongyu Bai</w:t>
      </w:r>
      <w:r>
        <w:t xml:space="preserve">1,([Dagger])</w:t>
      </w:r>
      <w:r>
        <w:t xml:space="preserve">, Qigang Xu</w:t>
      </w:r>
      <w:r>
        <w:t xml:space="preserve">2</w:t>
      </w:r>
      <w:r>
        <w:t xml:space="preserve">, Zhuxian Zhou</w:t>
      </w:r>
      <w:r>
        <w:t xml:space="preserve">3</w:t>
      </w:r>
      <w:r>
        <w:t xml:space="preserve">, Shaoliang Han</w:t>
      </w:r>
      <w:r>
        <w:t xml:space="preserve">1</w:t>
      </w:r>
    </w:p>
    <w:p>
      <w:pPr>
        <w:pStyle w:val="BodyText"/>
      </w:pPr>
      <w:r>
        <w:rPr>
          <w:b/>
          <w:bCs/>
        </w:rPr>
        <w:t xml:space="preserve">Affiliations</w:t>
      </w:r>
      <w:r>
        <w:t xml:space="preserve">:</w:t>
      </w:r>
      <w:r>
        <w:br/>
      </w:r>
      <w:r>
        <w:t xml:space="preserve">1</w:t>
      </w:r>
      <w:r>
        <w:t xml:space="preserve"> </w:t>
      </w:r>
      <w:r>
        <w:t xml:space="preserve">Department of Gastroenterology Surgery, The First Affiliated Hospital of Wenzhou Medical University, Nanbaixiang Street, Ouhai District, 325000 Wenzhou, Zhejiang, China</w:t>
      </w:r>
      <w:r>
        <w:br/>
      </w:r>
      <w:r>
        <w:t xml:space="preserve">2</w:t>
      </w:r>
      <w:r>
        <w:t xml:space="preserve"> </w:t>
      </w:r>
      <w:r>
        <w:t xml:space="preserve">Department of Hepatobiliary and Pancreatic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p>
    <w:p>
      <w:pPr>
        <w:pStyle w:val="BodyText"/>
      </w:pPr>
      <w:r>
        <w:t xml:space="preserve">([Dagger])</w:t>
      </w:r>
      <w:r>
        <w:t xml:space="preserve"> </w:t>
      </w:r>
      <w:r>
        <w:t xml:space="preserve">These authors contributed equally to this work.</w:t>
      </w:r>
      <w:r>
        <w:br/>
      </w:r>
      <w:r>
        <w:t xml:space="preserve">*</w:t>
      </w:r>
      <w:r>
        <w:t xml:space="preserve"> </w:t>
      </w:r>
      <w:r>
        <w:t xml:space="preserve">Corresponding author: Zhuha Zhou, Department of Gastroenterology Surgery, The First Affiliated Hospital of Wenzhou Medical University, Nanbaixiang Street, Ouhai District, 325000 Wenzhou, Zhejiang, China. E-mail: zhouzhuha@wmu.edu.cn. ORCID: 0009-0005-1818-4789</w:t>
      </w:r>
    </w:p>
    <w:p>
      <w:pPr>
        <w:pStyle w:val="BodyText"/>
      </w:pPr>
      <w:r>
        <w:rPr>
          <w:b/>
          <w:bCs/>
        </w:rPr>
        <w:t xml:space="preserve">Word count</w:t>
      </w:r>
      <w:r>
        <w:t xml:space="preserve">: ~7,500 (main text) |</w:t>
      </w:r>
      <w:r>
        <w:t xml:space="preserve"> </w:t>
      </w:r>
      <w:r>
        <w:rPr>
          <w:b/>
          <w:bCs/>
        </w:rPr>
        <w:t xml:space="preserve">Tables</w:t>
      </w:r>
      <w:r>
        <w:t xml:space="preserve">: 6 |</w:t>
      </w:r>
      <w:r>
        <w:t xml:space="preserve"> </w:t>
      </w:r>
      <w:r>
        <w:rPr>
          <w:b/>
          <w:bCs/>
        </w:rPr>
        <w:t xml:space="preserve">Figures</w:t>
      </w:r>
      <w:r>
        <w:t xml:space="preserve">: 11</w:t>
      </w:r>
    </w:p>
    <w:p>
      <w:r>
        <w:pict>
          <v:rect style="width:0;height:1.5pt" o:hralign="center" o:hrstd="t" o:hr="t"/>
        </w:pict>
      </w:r>
    </w:p>
    <w:bookmarkEnd w:id="9"/>
    <w:bookmarkStart w:id="10" w:name="abstract"/>
    <w:p>
      <w:pPr>
        <w:pStyle w:val="Heading1"/>
      </w:pPr>
      <w:r>
        <w:t xml:space="preserve">Abstract</w:t>
      </w:r>
    </w:p>
    <w:p>
      <w:pPr>
        <w:pStyle w:val="FirstParagraph"/>
      </w:pPr>
      <w:r>
        <w:rPr>
          <w:b/>
          <w:bCs/>
        </w:rPr>
        <w:t xml:space="preserve">Background</w:t>
      </w:r>
      <w:r>
        <w:t xml:space="preserve">: Whether learned evolutionary representations can outperform hand-crafted sequence encodings for peptide-MHC binding prediction and whether computationally predicted neoepitopes have structural plausibility remain open questions.</w:t>
      </w:r>
    </w:p>
    <w:p>
      <w:pPr>
        <w:pStyle w:val="BodyText"/>
      </w:pPr>
      <w:r>
        <w:rPr>
          <w:b/>
          <w:bCs/>
        </w:rPr>
        <w:t xml:space="preserve">Methods</w:t>
      </w:r>
      <w:r>
        <w:t xml:space="preserve">: Six deep learning architectures were benchmarked on 5,088 MHCflurry-labeled 9-mer peptides (HLA-A*02:01), with external validation against 49 IEDB-validated T-cell epitopes and a diverse real-negative benchmark (185 peptides, 4 sources). BLOSUM62 encoding was compared with per-position embeddings from ESM-2 (t6: 8M; t12: 35M). Neoepitope candidates were structurally validated using comparative crystallographic analysis (8 PDB structures) and OpenMM energy minimization.</w:t>
      </w:r>
    </w:p>
    <w:p>
      <w:pPr>
        <w:pStyle w:val="BodyText"/>
      </w:pPr>
      <w:r>
        <w:rPr>
          <w:b/>
          <w:bCs/>
        </w:rPr>
        <w:t xml:space="preserve">Results</w:t>
      </w:r>
      <w:r>
        <w:t xml:space="preserve">: The Deep FFN achieved 91.9% accuracy (93.9% IEDB sensitivity). ESM-2 per-position embeddings improved accuracy to 93.3%, the first demonstration that protein language model embeddings surpass BLOSUM62 for this task. The larger ESM-2 t12 underperformed (90.9%), revealing a data-to-dimensionality matching constraint. A real-negative benchmark confirmed 93.5% specificity. Mutation scanning identified two CREATED neoepitopes: KRAS G12V (YKLVVVGAV) employs a proposed K-E63 salt bridge compensating for a non-canonical P2 anchor (3.71A), while p53 R248W (MNWRPILTI) exploits a P7 tryptophan conformational switch. TCGA analysis revealed complementary patient populations (KRAS G12V: ~23% pancreatic, ~7% colorectal; p53 R248W: 3.6% colorectal).</w:t>
      </w:r>
    </w:p>
    <w:p>
      <w:pPr>
        <w:pStyle w:val="BodyText"/>
      </w:pPr>
      <w:r>
        <w:rPr>
          <w:b/>
          <w:bCs/>
        </w:rPr>
        <w:t xml:space="preserve">Conclusions</w:t>
      </w:r>
      <w:r>
        <w:t xml:space="preserve">: Per-position protein language model embeddings can replace BLOSUM62 for peptide-MHC binding prediction. Two structurally validated neoepitopes, operating through distinct molecular mechanisms, are high-priority candidates for experimental validation.</w:t>
      </w:r>
    </w:p>
    <w:p>
      <w:pPr>
        <w:pStyle w:val="BodyText"/>
      </w:pPr>
      <w:r>
        <w:rPr>
          <w:b/>
          <w:bCs/>
        </w:rPr>
        <w:t xml:space="preserve">Keywords</w:t>
      </w:r>
      <w:r>
        <w:t xml:space="preserve">: peptide-MHC binding, epitope prediction, protein language model, ESM-2, salt bridge, neoantigen, KRAS G12V, p53 R248W, HLA-A*02:01</w:t>
      </w:r>
    </w:p>
    <w:bookmarkEnd w:id="10"/>
    <w:bookmarkStart w:id="12" w:name="introduction"/>
    <w:p>
      <w:pPr>
        <w:pStyle w:val="Heading1"/>
      </w:pPr>
      <w:r>
        <w:t xml:space="preserve">Introduction</w:t>
      </w:r>
    </w:p>
    <w:p>
      <w:r>
        <w:pict>
          <v:rect style="width:0;height:1.5pt" o:hralign="center" o:hrstd="t" o:hr="t"/>
        </w:pict>
      </w:r>
    </w:p>
    <w:p>
      <w:pPr>
        <w:pStyle w:val="FirstParagraph"/>
      </w:pPr>
      <w:r>
        <w:t xml:space="preserve">The adaptive immune system relies on the presentation of peptide antigens by Major Histocompatibility Complex class I (MHC-I) molecules on the surface of nucleated cells. These peptide-MHC complexes (pMHC) are surveyed by CD8+ cytotoxic T lymphocytes, which eliminate cells displaying foreign or aberrant peptides arising from viral infection or somatic mutation (Neefjes et al., 2011). The molecular specificity of this surveillance system is governed largely by the physical interaction between the peptide and the MHC-I binding groove: only peptides whose anchor residues complement the polymorphic binding pockets of a given MHC allele are stably presented at the cell surface (Falk et al., 1991; Rammensee et al., 1995). For the most prevalent human MHC-I allele globally, HLA-A*02:01, binding is dominated by two primary anchor positions – position 2 (p2), which preferentially accommodates hydrophobic residues (leucine, methionine, isoleucine, valine), and position 9 (p9), the C-terminal anchor with an even stronger preference for valine and leucine (Ruppert et al., 1993; Madden, 1995).</w:t>
      </w:r>
    </w:p>
    <w:p>
      <w:pPr>
        <w:pStyle w:val="BodyText"/>
      </w:pPr>
      <w:r>
        <w:t xml:space="preserve">The ability to computationally predict which peptides will bind to a given MHC allele has been a central challenge in immunoinformatics for over two decades, motivated by applications in vaccine design, cancer immunotherapy, and autoimmune disease research (Lundegaard et al., 2011; Backert &amp; Kohlbacher, 2015). Early methods employed position-specific scoring matrices (PSSMs) and simple sequence motifs (Parker et al., 1994; Rammensee et al., 1999), which captured the dominant anchor preferences but failed to model inter-position dependencies. The introduction of machine learning approaches, particularly artificial neural networks such as NetMHC (Nielsen et al., 2003; Andreatta &amp; Nielsen, 2016) and NetMHCpan (Hoof et al., 2009; Reynisson et al., 2020), dramatically improved prediction accuracy by learning non-linear sequence determinants from experimentally measured binding affinity data. Contemporary methods, including MHCflurry (O’Donnell et al., 2018, 2020), BigMHC (Albert et al., 2023), and MUNIS (Chen et al., 2025), increasingly leverage deep learning architectures and protein language model embeddings to achieve near-saturating performance on standard benchmarks.</w:t>
      </w:r>
    </w:p>
    <w:p>
      <w:pPr>
        <w:pStyle w:val="BodyText"/>
      </w:pPr>
      <w:r>
        <w:t xml:space="preserve">Despite these advances, several gaps persist in the literature. First, while deep learning methods proliferate rapidly, systematic head-to-head comparisons of architecture families – feed-forward networks, convolutional networks, recurrent networks, residual networks, and traditional machine learning baselines – on identical peptide-MHC binding data remain rare. Most published tools report performance against different benchmarks, using different train/test splits, metrics, and evaluation protocols (Oluwagbemi et al., 2025). Second, the impact of training label quality on downstream model performance is seldom quantified: labels derived from deterministic biophysical models (PSSMs), machine learning predictors (MHCflurry), and experimental binding assays represent fundamentally different</w:t>
      </w:r>
      <w:r>
        <w:t xml:space="preserve"> </w:t>
      </w:r>
      <w:r>
        <w:t xml:space="preserve">“ground truths,”</w:t>
      </w:r>
      <w:r>
        <w:t xml:space="preserve"> </w:t>
      </w:r>
      <w:r>
        <w:t xml:space="preserve">and the degree to which model accuracy reflects label complexity rather than architecture quality is unclear. Third, the translation of binding prediction models to real-world epitope discovery tasks – scanning whole proteins, benchmarking against experimentally validated T-cell epitopes, and identifying neoepitopes created by cancer mutations – is often described in principle but rarely demonstrated in a unified, reproducible pipeline.</w:t>
      </w:r>
    </w:p>
    <w:p>
      <w:pPr>
        <w:pStyle w:val="BodyText"/>
      </w:pPr>
      <w:r>
        <w:t xml:space="preserve">The present study addresses these gaps through a systematic investigation of deep learning architectures for HLA-A*02:01 peptide binding prediction, building on the foundational work of Jessen (2018), who demonstrated that a simple feed-forward neural network could classify peptides as strong binders, weak binders, or non-binders with approximately 95% accuracy using netMHCpan-derived labels. We reproduce and extend this approach with the following contributions:</w:t>
      </w:r>
    </w:p>
    <w:p>
      <w:pPr>
        <w:pStyle w:val="BodyText"/>
      </w:pPr>
      <w:r>
        <w:rPr>
          <w:b/>
          <w:bCs/>
        </w:rPr>
        <w:t xml:space="preserve">First</w:t>
      </w:r>
      <w:r>
        <w:t xml:space="preserve">, we implement and compare six classifier architectures – Feed-Forward Neural Network (FFN), Deep FFN with batch normalization, Convolutional Neural Network (CNN), Long Short-Term Memory network (LSTM), ResNet-style residual network, and Random Forest – on a common dataset of 5,088 MHCflurry-labeled 9-mer peptides, providing the first systematic architecture benchmark in this domain.</w:t>
      </w:r>
    </w:p>
    <w:p>
      <w:pPr>
        <w:pStyle w:val="BodyText"/>
      </w:pPr>
      <w:r>
        <w:rPr>
          <w:b/>
          <w:bCs/>
        </w:rPr>
        <w:t xml:space="preserve">Second</w:t>
      </w:r>
      <w:r>
        <w:t xml:space="preserve">, we quantify the effect of training label quality by comparing model performance across three labeling strategies: deterministic PSSM labels (linear biophysical model), MHCflurry 2.2.0 labels (machine learning predictor capturing non-linear interactions), and random synthetic labels (baseline). This analysis reveals that approximately 3 percentage points of reported model accuracy is attributable to label simplicity rather than model capability, with the weak binder (WB) class serving as the primary locus of label-induced performance variation.</w:t>
      </w:r>
    </w:p>
    <w:p>
      <w:pPr>
        <w:pStyle w:val="BodyText"/>
      </w:pPr>
      <w:r>
        <w:rPr>
          <w:b/>
          <w:bCs/>
        </w:rPr>
        <w:t xml:space="preserve">Third</w:t>
      </w:r>
      <w:r>
        <w:t xml:space="preserve">, we benchmark the best-performing model against a curated set of 49 experimentally validated HLA-A*02:01-restricted T-cell epitopes from the Immune Epitope Database (IEDB), establishing real-world sensitivity and specificity metrics that complement standard train/test evaluation.</w:t>
      </w:r>
    </w:p>
    <w:p>
      <w:pPr>
        <w:pStyle w:val="BodyText"/>
      </w:pPr>
      <w:r>
        <w:rPr>
          <w:b/>
          <w:bCs/>
        </w:rPr>
        <w:t xml:space="preserve">Fourth</w:t>
      </w:r>
      <w:r>
        <w:t xml:space="preserve">, we demonstrate the translational utility of the trained model through comprehensive epitope scanning of 10 therapeutically relevant proteins (including melanoma antigens, tumor suppressors, oncogenes, and viral antigens), identifying known immunodominant epitopes and 16 novel high-confidence candidates. We further apply the model to cancer hotspot mutation scanning, identifying neoepitope-creating mutations in p53 (R248W) and KRAS (G12V) that represent actionable immunotherapy targets.</w:t>
      </w:r>
    </w:p>
    <w:p>
      <w:pPr>
        <w:pStyle w:val="BodyText"/>
      </w:pPr>
      <w:r>
        <w:rPr>
          <w:b/>
          <w:bCs/>
        </w:rPr>
        <w:t xml:space="preserve">Fifth</w:t>
      </w:r>
      <w:r>
        <w:t xml:space="preserve">, we extract and analyze the learned feature representations of the trained models, demonstrating that the penultimate layer activations encode biologically interpretable information about anchor residue preferences and peptide-MHC binding determinants.</w:t>
      </w:r>
    </w:p>
    <w:p>
      <w:pPr>
        <w:pStyle w:val="BodyText"/>
      </w:pPr>
      <w:r>
        <w:t xml:space="preserve">All analyses are implemented in a fully reproducible R pipeline with open-source code, trained models, feature matrices, and prediction results provided as a comprehensive data package. This study thus serves as both a methodological benchmark for deep learning in computational immunology and a practical resource for epitope discovery in cancer immunotherapy and vaccine design.</w:t>
      </w:r>
    </w:p>
    <w:p>
      <w:r>
        <w:pict>
          <v:rect style="width:0;height:1.5pt" o:hralign="center" o:hrstd="t" o:hr="t"/>
        </w:pict>
      </w:r>
    </w:p>
    <w:bookmarkStart w:id="11" w:name="references"/>
    <w:p>
      <w:pPr>
        <w:pStyle w:val="Heading2"/>
      </w:pPr>
      <w:r>
        <w:t xml:space="preserve">References</w:t>
      </w:r>
    </w:p>
    <w:p>
      <w:pPr>
        <w:pStyle w:val="Compact"/>
        <w:numPr>
          <w:ilvl w:val="0"/>
          <w:numId w:val="1001"/>
        </w:numPr>
      </w:pPr>
      <w:r>
        <w:t xml:space="preserve">Albert, B.A., et al. (2023). BigMHC: deep learning-based prediction of MHC-I epitope presentation.</w:t>
      </w:r>
      <w:r>
        <w:t xml:space="preserve"> </w:t>
      </w:r>
      <w:r>
        <w:rPr>
          <w:i/>
          <w:iCs/>
        </w:rPr>
        <w:t xml:space="preserve">bioRxiv</w:t>
      </w:r>
      <w:r>
        <w:t xml:space="preserve">.</w:t>
      </w:r>
    </w:p>
    <w:p>
      <w:pPr>
        <w:pStyle w:val="Compact"/>
        <w:numPr>
          <w:ilvl w:val="0"/>
          <w:numId w:val="1001"/>
        </w:numPr>
      </w:pPr>
      <w:r>
        <w:t xml:space="preserve">Andreatta, M., &amp; Nielsen, M. (2016). Gapped sequence alignment using artificial neural networks.</w:t>
      </w:r>
      <w:r>
        <w:t xml:space="preserve"> </w:t>
      </w:r>
      <w:r>
        <w:rPr>
          <w:i/>
          <w:iCs/>
        </w:rPr>
        <w:t xml:space="preserve">Bioinformatics</w:t>
      </w:r>
      <w:r>
        <w:t xml:space="preserve">, 32(4), 511-517.</w:t>
      </w:r>
    </w:p>
    <w:p>
      <w:pPr>
        <w:pStyle w:val="Compact"/>
        <w:numPr>
          <w:ilvl w:val="0"/>
          <w:numId w:val="1001"/>
        </w:numPr>
      </w:pPr>
      <w:r>
        <w:t xml:space="preserve">Backert, L., &amp; Kohlbacher, O. (2015). Immunoinformatics and epitope prediction in the age of genomic medicine.</w:t>
      </w:r>
      <w:r>
        <w:t xml:space="preserve"> </w:t>
      </w:r>
      <w:r>
        <w:rPr>
          <w:i/>
          <w:iCs/>
        </w:rPr>
        <w:t xml:space="preserve">Genome Medicine</w:t>
      </w:r>
      <w:r>
        <w:t xml:space="preserve">, 7, 119.</w:t>
      </w:r>
    </w:p>
    <w:p>
      <w:pPr>
        <w:pStyle w:val="Compact"/>
        <w:numPr>
          <w:ilvl w:val="0"/>
          <w:numId w:val="1001"/>
        </w:numPr>
      </w:pPr>
      <w:r>
        <w:t xml:space="preserve">Falk, K., et al. (1991). Allele-specific motifs revealed by sequencing of self-peptides eluted from MHC molecules.</w:t>
      </w:r>
      <w:r>
        <w:t xml:space="preserve"> </w:t>
      </w:r>
      <w:r>
        <w:rPr>
          <w:i/>
          <w:iCs/>
        </w:rPr>
        <w:t xml:space="preserve">Nature</w:t>
      </w:r>
      <w:r>
        <w:t xml:space="preserve">, 351, 290-296.</w:t>
      </w:r>
    </w:p>
    <w:p>
      <w:pPr>
        <w:pStyle w:val="Compact"/>
        <w:numPr>
          <w:ilvl w:val="0"/>
          <w:numId w:val="1001"/>
        </w:numPr>
      </w:pPr>
      <w:r>
        <w:t xml:space="preserve">Hoof, I., et al. (2009). NetMHCpan, a method for MHC class I binding prediction beyond humans.</w:t>
      </w:r>
      <w:r>
        <w:t xml:space="preserve"> </w:t>
      </w:r>
      <w:r>
        <w:rPr>
          <w:i/>
          <w:iCs/>
        </w:rPr>
        <w:t xml:space="preserve">Immunogenetics</w:t>
      </w:r>
      <w:r>
        <w:t xml:space="preserve">, 61(1), 1-13.</w:t>
      </w:r>
    </w:p>
    <w:p>
      <w:pPr>
        <w:pStyle w:val="Compact"/>
        <w:numPr>
          <w:ilvl w:val="0"/>
          <w:numId w:val="1001"/>
        </w:numPr>
      </w:pPr>
      <w:r>
        <w:t xml:space="preserve">Jessen, L.E. (2018). Deep learning for cancer immunotherapy.</w:t>
      </w:r>
      <w:r>
        <w:t xml:space="preserve"> </w:t>
      </w:r>
      <w:r>
        <w:rPr>
          <w:i/>
          <w:iCs/>
        </w:rPr>
        <w:t xml:space="preserve">RStudio AI Blog</w:t>
      </w:r>
      <w:r>
        <w:t xml:space="preserve">.</w:t>
      </w:r>
    </w:p>
    <w:p>
      <w:pPr>
        <w:pStyle w:val="Compact"/>
        <w:numPr>
          <w:ilvl w:val="0"/>
          <w:numId w:val="1001"/>
        </w:numPr>
      </w:pPr>
      <w:r>
        <w:t xml:space="preserve">Lundegaard, C., et al. (2011). State of the art and challenges in sequence based T-cell epitope prediction.</w:t>
      </w:r>
      <w:r>
        <w:t xml:space="preserve"> </w:t>
      </w:r>
      <w:r>
        <w:rPr>
          <w:i/>
          <w:iCs/>
        </w:rPr>
        <w:t xml:space="preserve">Immunome Research</w:t>
      </w:r>
      <w:r>
        <w:t xml:space="preserve">, 6(Suppl 2), S3.</w:t>
      </w:r>
    </w:p>
    <w:p>
      <w:pPr>
        <w:pStyle w:val="Compact"/>
        <w:numPr>
          <w:ilvl w:val="0"/>
          <w:numId w:val="1001"/>
        </w:numPr>
      </w:pPr>
      <w:r>
        <w:t xml:space="preserve">Madden, D.R. (1995). The three-dimensional structure of peptide-MHC complexes.</w:t>
      </w:r>
      <w:r>
        <w:t xml:space="preserve"> </w:t>
      </w:r>
      <w:r>
        <w:rPr>
          <w:i/>
          <w:iCs/>
        </w:rPr>
        <w:t xml:space="preserve">Annual Review of Immunology</w:t>
      </w:r>
      <w:r>
        <w:t xml:space="preserve">, 13, 587-622.</w:t>
      </w:r>
    </w:p>
    <w:p>
      <w:pPr>
        <w:pStyle w:val="Compact"/>
        <w:numPr>
          <w:ilvl w:val="0"/>
          <w:numId w:val="1001"/>
        </w:numPr>
      </w:pPr>
      <w:r>
        <w:t xml:space="preserve">Neefjes, J., et al. (2011). Towards a systems understanding of MHC class I and MHC class II antigen presentation.</w:t>
      </w:r>
      <w:r>
        <w:t xml:space="preserve"> </w:t>
      </w:r>
      <w:r>
        <w:rPr>
          <w:i/>
          <w:iCs/>
        </w:rPr>
        <w:t xml:space="preserve">Nature Reviews Immunology</w:t>
      </w:r>
      <w:r>
        <w:t xml:space="preserve">, 11, 823-836.</w:t>
      </w:r>
    </w:p>
    <w:p>
      <w:pPr>
        <w:pStyle w:val="Compact"/>
        <w:numPr>
          <w:ilvl w:val="0"/>
          <w:numId w:val="1001"/>
        </w:numPr>
      </w:pPr>
      <w:r>
        <w:t xml:space="preserve">Nielsen, M., et al. (2003). Reliable prediction of T-cell epitopes using neural networks with novel sequence representations.</w:t>
      </w:r>
      <w:r>
        <w:t xml:space="preserve"> </w:t>
      </w:r>
      <w:r>
        <w:rPr>
          <w:i/>
          <w:iCs/>
        </w:rPr>
        <w:t xml:space="preserve">Protein Science</w:t>
      </w:r>
      <w:r>
        <w:t xml:space="preserve">, 12(5), 1007-1017.</w:t>
      </w:r>
    </w:p>
    <w:p>
      <w:pPr>
        <w:pStyle w:val="Compact"/>
        <w:numPr>
          <w:ilvl w:val="0"/>
          <w:numId w:val="1001"/>
        </w:numPr>
      </w:pPr>
      <w:r>
        <w:t xml:space="preserve">O’Donnell, T.J., et al. (2018). MHCflurry: open-source class I MHC binding affinity prediction.</w:t>
      </w:r>
      <w:r>
        <w:t xml:space="preserve"> </w:t>
      </w:r>
      <w:r>
        <w:rPr>
          <w:i/>
          <w:iCs/>
        </w:rPr>
        <w:t xml:space="preserve">Cell Systems</w:t>
      </w:r>
      <w:r>
        <w:t xml:space="preserve">, 7(1), 129-132.</w:t>
      </w:r>
    </w:p>
    <w:p>
      <w:pPr>
        <w:pStyle w:val="Compact"/>
        <w:numPr>
          <w:ilvl w:val="0"/>
          <w:numId w:val="1001"/>
        </w:numPr>
      </w:pPr>
      <w:r>
        <w:t xml:space="preserve">O’Donnell, T.J., et al. (2020). MHCflurry 2.0: improved pan-allele prediction of MHC class I-presented peptides.</w:t>
      </w:r>
      <w:r>
        <w:t xml:space="preserve"> </w:t>
      </w:r>
      <w:r>
        <w:rPr>
          <w:i/>
          <w:iCs/>
        </w:rPr>
        <w:t xml:space="preserve">Cell Systems</w:t>
      </w:r>
      <w:r>
        <w:t xml:space="preserve">, 11(1), 42-48.</w:t>
      </w:r>
    </w:p>
    <w:p>
      <w:pPr>
        <w:pStyle w:val="Compact"/>
        <w:numPr>
          <w:ilvl w:val="0"/>
          <w:numId w:val="1001"/>
        </w:numPr>
      </w:pPr>
      <w:r>
        <w:t xml:space="preserve">Oluwagbemi, O., et al. (2025). AI-driven epitope prediction: a systematic review, comparative analysis, and practical guide for vaccine development.</w:t>
      </w:r>
      <w:r>
        <w:t xml:space="preserve"> </w:t>
      </w:r>
      <w:r>
        <w:rPr>
          <w:i/>
          <w:iCs/>
        </w:rPr>
        <w:t xml:space="preserve">npj Vaccines</w:t>
      </w:r>
      <w:r>
        <w:t xml:space="preserve">, 10, 258.</w:t>
      </w:r>
    </w:p>
    <w:p>
      <w:pPr>
        <w:pStyle w:val="Compact"/>
        <w:numPr>
          <w:ilvl w:val="0"/>
          <w:numId w:val="1001"/>
        </w:numPr>
      </w:pPr>
      <w:r>
        <w:t xml:space="preserve">Parker, K.C., et al. (1994). Scheme for ranking potential HLA-A2 binding peptides based on independent binding of individual peptide side-chains.</w:t>
      </w:r>
      <w:r>
        <w:t xml:space="preserve"> </w:t>
      </w:r>
      <w:r>
        <w:rPr>
          <w:i/>
          <w:iCs/>
        </w:rPr>
        <w:t xml:space="preserve">Journal of Immunology</w:t>
      </w:r>
      <w:r>
        <w:t xml:space="preserve">, 152(1), 163-175.</w:t>
      </w:r>
    </w:p>
    <w:p>
      <w:pPr>
        <w:pStyle w:val="Compact"/>
        <w:numPr>
          <w:ilvl w:val="0"/>
          <w:numId w:val="1001"/>
        </w:numPr>
      </w:pPr>
      <w:r>
        <w:t xml:space="preserve">Rammensee, H.G., et al. (1995). MHC ligands and peptide motifs: first listing.</w:t>
      </w:r>
      <w:r>
        <w:t xml:space="preserve"> </w:t>
      </w:r>
      <w:r>
        <w:rPr>
          <w:i/>
          <w:iCs/>
        </w:rPr>
        <w:t xml:space="preserve">Immunogenetics</w:t>
      </w:r>
      <w:r>
        <w:t xml:space="preserve">, 41(4), 178-228.</w:t>
      </w:r>
    </w:p>
    <w:p>
      <w:pPr>
        <w:pStyle w:val="Compact"/>
        <w:numPr>
          <w:ilvl w:val="0"/>
          <w:numId w:val="1001"/>
        </w:numPr>
      </w:pPr>
      <w:r>
        <w:t xml:space="preserve">Rammensee, H.G., et al. (1999). SYFPEITHI: database for MHC ligands and peptide motifs.</w:t>
      </w:r>
      <w:r>
        <w:t xml:space="preserve"> </w:t>
      </w:r>
      <w:r>
        <w:rPr>
          <w:i/>
          <w:iCs/>
        </w:rPr>
        <w:t xml:space="preserve">Immunogenetics</w:t>
      </w:r>
      <w:r>
        <w:t xml:space="preserve">, 50, 213-219.</w:t>
      </w:r>
    </w:p>
    <w:p>
      <w:pPr>
        <w:pStyle w:val="Compact"/>
        <w:numPr>
          <w:ilvl w:val="0"/>
          <w:numId w:val="1001"/>
        </w:numPr>
      </w:pPr>
      <w:r>
        <w:t xml:space="preserve">Reynisson, B., et al. (2020). NetMHCpan-4.1 and NetMHCIIpan-4.0.</w:t>
      </w:r>
      <w:r>
        <w:t xml:space="preserve"> </w:t>
      </w:r>
      <w:r>
        <w:rPr>
          <w:i/>
          <w:iCs/>
        </w:rPr>
        <w:t xml:space="preserve">Nucleic Acids Research</w:t>
      </w:r>
      <w:r>
        <w:t xml:space="preserve">, 48(W1), W449-W454.</w:t>
      </w:r>
    </w:p>
    <w:p>
      <w:pPr>
        <w:pStyle w:val="Compact"/>
        <w:numPr>
          <w:ilvl w:val="0"/>
          <w:numId w:val="1001"/>
        </w:numPr>
      </w:pPr>
      <w:r>
        <w:t xml:space="preserve">Ruppert, J., et al. (1993). Prominent role of secondary anchor residues in peptide binding to HLA-A2.1 molecules.</w:t>
      </w:r>
      <w:r>
        <w:t xml:space="preserve"> </w:t>
      </w:r>
      <w:r>
        <w:rPr>
          <w:i/>
          <w:iCs/>
        </w:rPr>
        <w:t xml:space="preserve">Cell</w:t>
      </w:r>
      <w:r>
        <w:t xml:space="preserve">, 74(5), 929-937.</w:t>
      </w:r>
    </w:p>
    <w:p>
      <w:r>
        <w:pict>
          <v:rect style="width:0;height:1.5pt" o:hralign="center" o:hrstd="t" o:hr="t"/>
        </w:pict>
      </w:r>
    </w:p>
    <w:p>
      <w:pPr>
        <w:pStyle w:val="FirstParagraph"/>
      </w:pPr>
      <w:r>
        <w:rPr>
          <w:i/>
          <w:iCs/>
        </w:rPr>
        <w:t xml:space="preserve">Manuscript in preparation. Corresponding author contact information to be added.</w:t>
      </w:r>
    </w:p>
    <w:bookmarkEnd w:id="11"/>
    <w:bookmarkEnd w:id="12"/>
    <w:bookmarkStart w:id="34" w:name="methods"/>
    <w:p>
      <w:pPr>
        <w:pStyle w:val="Heading1"/>
      </w:pPr>
      <w:r>
        <w:t xml:space="preserve">Methods</w:t>
      </w:r>
    </w:p>
    <w:p>
      <w:r>
        <w:pict>
          <v:rect style="width:0;height:1.5pt" o:hralign="center" o:hrstd="t" o:hr="t"/>
        </w:pict>
      </w:r>
    </w:p>
    <w:bookmarkStart w:id="16" w:name="data-generation-and-labeling"/>
    <w:p>
      <w:pPr>
        <w:pStyle w:val="Heading2"/>
      </w:pPr>
      <w:r>
        <w:t xml:space="preserve">2.1 Data Generation and Labeling</w:t>
      </w:r>
    </w:p>
    <w:bookmarkStart w:id="13" w:name="training-data"/>
    <w:p>
      <w:pPr>
        <w:pStyle w:val="Heading3"/>
      </w:pPr>
      <w:r>
        <w:t xml:space="preserve">2.1.1 Training Data</w:t>
      </w:r>
    </w:p>
    <w:p>
      <w:pPr>
        <w:pStyle w:val="FirstParagraph"/>
      </w:pPr>
      <w:r>
        <w:t xml:space="preserve">A total of 100,000 random 9-mer peptides were generated by uniform sampling of the 20 standard amino acids. Each peptide was submitted to MHCflurry 2.2.0 (O’Donnell et al., 2020) for binding affinity prediction against HLA-A*02:01, the most prevalent human MHC class I allele globally. MHCflurry outputs a percentile rank score relative to a background distribution of random peptides, where lower ranks indicate stronger predicted binding.</w:t>
      </w:r>
    </w:p>
    <w:p>
      <w:pPr>
        <w:pStyle w:val="BodyText"/>
      </w:pPr>
      <w:r>
        <w:t xml:space="preserve">Peptides were assigned to three classes following the netMHCpan convention (Reynisson et al., 2020):</w:t>
      </w:r>
      <w:r>
        <w:t xml:space="preserve"> </w:t>
      </w:r>
      <w:r>
        <w:t xml:space="preserve">-</w:t>
      </w:r>
      <w:r>
        <w:t xml:space="preserve"> </w:t>
      </w:r>
      <w:r>
        <w:rPr>
          <w:b/>
          <w:bCs/>
        </w:rPr>
        <w:t xml:space="preserve">Strong Binder (SB)</w:t>
      </w:r>
      <w:r>
        <w:t xml:space="preserve">: percentile rank &lt; 0.5%</w:t>
      </w:r>
      <w:r>
        <w:t xml:space="preserve"> </w:t>
      </w:r>
      <w:r>
        <w:t xml:space="preserve">-</w:t>
      </w:r>
      <w:r>
        <w:t xml:space="preserve"> </w:t>
      </w:r>
      <w:r>
        <w:rPr>
          <w:b/>
          <w:bCs/>
        </w:rPr>
        <w:t xml:space="preserve">Weak Binder (WB)</w:t>
      </w:r>
      <w:r>
        <w:t xml:space="preserve">: 0.5% &lt;= percentile rank &lt; 2.0%</w:t>
      </w:r>
      <w:r>
        <w:t xml:space="preserve"> </w:t>
      </w:r>
      <w:r>
        <w:t xml:space="preserve">-</w:t>
      </w:r>
      <w:r>
        <w:t xml:space="preserve"> </w:t>
      </w:r>
      <w:r>
        <w:rPr>
          <w:b/>
          <w:bCs/>
        </w:rPr>
        <w:t xml:space="preserve">Non-Binder (NB)</w:t>
      </w:r>
      <w:r>
        <w:t xml:space="preserve">: percentile rank &gt;= 2.0%</w:t>
      </w:r>
    </w:p>
    <w:p>
      <w:pPr>
        <w:pStyle w:val="BodyText"/>
      </w:pPr>
      <w:r>
        <w:t xml:space="preserve">The resulting class distribution was highly imbalanced (approximately 1.5% SB, 5% WB, 93.5% NB). To prevent classifier bias toward the majority class, the dataset was balanced by downsampling each class to the size of the smallest class (n = 1,696), yielding a final balanced dataset of 5,088 peptides (1,696 per class). The balanced dataset was randomly partitioned into training (90%, n = 4,579) and held-out test (10%, n = 509) sets with stratified sampling to preserve class proportions. Each peptide was assigned a unique identifier (</w:t>
      </w:r>
      <w:r>
        <w:rPr>
          <w:rStyle w:val="VerbatimChar"/>
        </w:rPr>
        <w:t xml:space="preserve">PEP_00001</w:t>
      </w:r>
      <w:r>
        <w:t xml:space="preserve"> </w:t>
      </w:r>
      <w:r>
        <w:t xml:space="preserve">to</w:t>
      </w:r>
      <w:r>
        <w:t xml:space="preserve"> </w:t>
      </w:r>
      <w:r>
        <w:rPr>
          <w:rStyle w:val="VerbatimChar"/>
        </w:rPr>
        <w:t xml:space="preserve">PEP_05088</w:t>
      </w:r>
      <w:r>
        <w:t xml:space="preserve">) to enable traceability throughout the pipeline.</w:t>
      </w:r>
    </w:p>
    <w:bookmarkEnd w:id="13"/>
    <w:bookmarkStart w:id="14" w:name="comparison-labeling-methods"/>
    <w:p>
      <w:pPr>
        <w:pStyle w:val="Heading3"/>
      </w:pPr>
      <w:r>
        <w:t xml:space="preserve">2.1.2 Comparison Labeling Methods</w:t>
      </w:r>
    </w:p>
    <w:p>
      <w:pPr>
        <w:pStyle w:val="FirstParagraph"/>
      </w:pPr>
      <w:r>
        <w:t xml:space="preserve">To assess the impact of label quality on model performance, two additional labeling strategies were compared:</w:t>
      </w:r>
    </w:p>
    <w:p>
      <w:pPr>
        <w:pStyle w:val="BodyText"/>
      </w:pPr>
      <w:r>
        <w:rPr>
          <w:b/>
          <w:bCs/>
        </w:rPr>
        <w:t xml:space="preserve">PSSM-based labeling</w:t>
      </w:r>
      <w:r>
        <w:t xml:space="preserve">: A position-specific scoring matrix (PSSM) was constructed from crystallographically determined HLA-A*02:01 binding preferences. Anchor preferences were encoded as log-odds scores for each of the 20 amino acids at each of the 9 positions, with strongest weights at p2 (L: 1.0, M: 0.9, I: 0.7, V: 0.7) and p9 (V: 1.0, L: 0.8, I: 0.7). Peptide scores were computed as the sum of position-specific scores, and thresholds were applied to match the SB/WB/NB distribution of MHCflurry-derived labels.</w:t>
      </w:r>
    </w:p>
    <w:p>
      <w:pPr>
        <w:pStyle w:val="BodyText"/>
      </w:pPr>
      <w:r>
        <w:rPr>
          <w:b/>
          <w:bCs/>
        </w:rPr>
        <w:t xml:space="preserve">Random synthetic labeling</w:t>
      </w:r>
      <w:r>
        <w:t xml:space="preserve">: As a baseline control, peptides were assigned random labels with weak anchor-residue bias, simulating a naive classifier scenario.</w:t>
      </w:r>
    </w:p>
    <w:bookmarkEnd w:id="14"/>
    <w:bookmarkStart w:id="15" w:name="benchmark-dataset"/>
    <w:p>
      <w:pPr>
        <w:pStyle w:val="Heading3"/>
      </w:pPr>
      <w:r>
        <w:t xml:space="preserve">2.1.3 Benchmark Dataset</w:t>
      </w:r>
    </w:p>
    <w:p>
      <w:pPr>
        <w:pStyle w:val="FirstParagraph"/>
      </w:pPr>
      <w:r>
        <w:t xml:space="preserve">A benchmark set of 69 peptides was curated from the Immune Epitope Database (IEDB; Vita et al., 2019), comprising 49 experimentally validated HLA-A*02:01-restricted T-cell epitopes (positives) spanning viral antigens (influenza, CMV, EBV, HBV, HCV, HIV, SARS-CoV-2, HPV), melanoma differentiation antigens (MART-1, gp100, tyrosinase), and tumor-associated antigens (WT1, p53, NY-ESO-1, MAGE, CEA, HER2, survivin, hTERT, PSMA, PSA). Twenty homopolymer negative controls (poly-alanine through poly-tyrosine) were included to assess specificity. All benchmark peptides were 9 amino acids in length.</w:t>
      </w:r>
    </w:p>
    <w:p>
      <w:r>
        <w:pict>
          <v:rect style="width:0;height:1.5pt" o:hralign="center" o:hrstd="t" o:hr="t"/>
        </w:pict>
      </w:r>
    </w:p>
    <w:bookmarkEnd w:id="15"/>
    <w:bookmarkEnd w:id="16"/>
    <w:bookmarkStart w:id="17" w:name="peptide-encoding"/>
    <w:p>
      <w:pPr>
        <w:pStyle w:val="Heading2"/>
      </w:pPr>
      <w:r>
        <w:t xml:space="preserve">2.2 Peptide Encoding</w:t>
      </w:r>
    </w:p>
    <w:p>
      <w:pPr>
        <w:pStyle w:val="FirstParagraph"/>
      </w:pPr>
      <w:r>
        <w:t xml:space="preserve">Each 9-mer peptide was encoded using the BLOSUM62 amino acid substitution matrix (Henikoff &amp; Henikoff, 1992). For each amino acid residue, a 20-dimensional vector was constructed from the corresponding row of the normalized BLOSUM62 matrix, representing the evolutionary substitution probabilities to each of the 20 standard amino acids. Values were min-max normalized to [0, 1] per row. Each peptide was thus represented as a 9 x 20 matrix, analogous to a single-channel image of height 9 (peptide positions p1-p9) and width 20 (amino acid features). For input to fully connected networks, this matrix was flattened to a 180-dimensional vector.</w:t>
      </w:r>
    </w:p>
    <w:p>
      <w:r>
        <w:pict>
          <v:rect style="width:0;height:1.5pt" o:hralign="center" o:hrstd="t" o:hr="t"/>
        </w:pict>
      </w:r>
    </w:p>
    <w:bookmarkEnd w:id="17"/>
    <w:bookmarkStart w:id="24" w:name="model-architectures"/>
    <w:p>
      <w:pPr>
        <w:pStyle w:val="Heading2"/>
      </w:pPr>
      <w:r>
        <w:t xml:space="preserve">2.3 Model Architectures</w:t>
      </w:r>
    </w:p>
    <w:p>
      <w:pPr>
        <w:pStyle w:val="FirstParagraph"/>
      </w:pPr>
      <w:r>
        <w:t xml:space="preserve">Six classifier architectures were implemented and compared:</w:t>
      </w:r>
    </w:p>
    <w:bookmarkStart w:id="18" w:name="feed-forward-neural-network-ffn"/>
    <w:p>
      <w:pPr>
        <w:pStyle w:val="Heading3"/>
      </w:pPr>
      <w:r>
        <w:t xml:space="preserve">2.3.1 Feed-Forward Neural Network (FFN)</w:t>
      </w:r>
    </w:p>
    <w:p>
      <w:pPr>
        <w:pStyle w:val="FirstParagraph"/>
      </w:pPr>
      <w:r>
        <w:t xml:space="preserve">The baseline deep learning architecture followed Jessen (2018). The network comprised an input layer (180 units), a hidden layer (90 units) with ReLU activation, and a 3-class softmax output layer. Dropout regularization (Srivastava et al., 2014) was applied after the input layer (rate = 0.4) and after the hidden layer (rate = 0.3). This architecture contains 49,143 trainable parameters.</w:t>
      </w:r>
    </w:p>
    <w:bookmarkEnd w:id="18"/>
    <w:bookmarkStart w:id="19" w:name="X0dcd1bd16dca1f03b72b0267f5d08d6965e1f39"/>
    <w:p>
      <w:pPr>
        <w:pStyle w:val="Heading3"/>
      </w:pPr>
      <w:r>
        <w:t xml:space="preserve">2.3.2 Deep Feed-Forward Neural Network (Deep FFN)</w:t>
      </w:r>
    </w:p>
    <w:p>
      <w:pPr>
        <w:pStyle w:val="FirstParagraph"/>
      </w:pPr>
      <w:r>
        <w:t xml:space="preserve">An extended architecture with additional depth and batch normalization (Ioffe &amp; Szegedy, 2015) was implemented: input (180) -&gt; dense (360) -&gt; batch normalization -&gt; dropout (0.5) -&gt; dense (180) -&gt; batch normalization -&gt; dropout (0.4) -&gt; dense (90) -&gt; dropout (0.3) -&gt; dense (45) -&gt; dense (3, softmax). This architecture contains 152,823 trainable parameters.</w:t>
      </w:r>
    </w:p>
    <w:bookmarkEnd w:id="19"/>
    <w:bookmarkStart w:id="20" w:name="convolutional-neural-network-cnn"/>
    <w:p>
      <w:pPr>
        <w:pStyle w:val="Heading3"/>
      </w:pPr>
      <w:r>
        <w:t xml:space="preserve">2.3.3 Convolutional Neural Network (CNN)</w:t>
      </w:r>
    </w:p>
    <w:p>
      <w:pPr>
        <w:pStyle w:val="FirstParagraph"/>
      </w:pPr>
      <w:r>
        <w:t xml:space="preserve">A 2D convolutional layer (32 filters, 3 x 3 kernel, same padding, ReLU activation) was applied to the 9 x 20 x 1 input tensor, followed by dropout (0.25), flattening, and the same dense layers as the FFN architecture. This model contains 1,053,863 parameters.</w:t>
      </w:r>
    </w:p>
    <w:bookmarkEnd w:id="20"/>
    <w:bookmarkStart w:id="21" w:name="long-short-term-memory-network-lstm"/>
    <w:p>
      <w:pPr>
        <w:pStyle w:val="Heading3"/>
      </w:pPr>
      <w:r>
        <w:t xml:space="preserve">2.3.4 Long Short-Term Memory Network (LSTM)</w:t>
      </w:r>
    </w:p>
    <w:p>
      <w:pPr>
        <w:pStyle w:val="FirstParagraph"/>
      </w:pPr>
      <w:r>
        <w:t xml:space="preserve">To evaluate whether sequential modeling of peptide positions improves prediction, an LSTM layer (64 units, unidirectional) was applied to the 9 x 20 input, treating each position as a timestep. The LSTM output was passed through dropout (0.3) and a dense layer (32 units, ReLU) before the softmax output. This architecture contains 23,939 parameters.</w:t>
      </w:r>
    </w:p>
    <w:bookmarkEnd w:id="21"/>
    <w:bookmarkStart w:id="22" w:name="resnet-style-network"/>
    <w:p>
      <w:pPr>
        <w:pStyle w:val="Heading3"/>
      </w:pPr>
      <w:r>
        <w:t xml:space="preserve">2.3.5 ResNet-Style Network</w:t>
      </w:r>
    </w:p>
    <w:p>
      <w:pPr>
        <w:pStyle w:val="FirstParagraph"/>
      </w:pPr>
      <w:r>
        <w:t xml:space="preserve">A residual network architecture inspired by He et al. (2016) was adapted for small 9 x 20 inputs. The network comprised an initial convolutional stem (32 filters, 3 x 3), followed by three residual blocks with increasing filter counts (32 -&gt; 64 -&gt; 128). Each residual block contained two 3 x 3 convolutional layers with batch normalization, with projection shortcuts (1 x 1 convolutions) for channel dimension matching. Global average pooling, a dense layer (128 units), and dropout (0.3) preceded the softmax output. This architecture contains 324,931 parameters.</w:t>
      </w:r>
    </w:p>
    <w:bookmarkEnd w:id="22"/>
    <w:bookmarkStart w:id="23" w:name="random-forest"/>
    <w:p>
      <w:pPr>
        <w:pStyle w:val="Heading3"/>
      </w:pPr>
      <w:r>
        <w:t xml:space="preserve">2.3.6 Random Forest</w:t>
      </w:r>
    </w:p>
    <w:p>
      <w:pPr>
        <w:pStyle w:val="FirstParagraph"/>
      </w:pPr>
      <w:r>
        <w:t xml:space="preserve">As a non-deep learning baseline, a random forest classifier (Breiman, 2001) with 100 trees was trained on the flattened 180-dimensional BLOSUM62 feature vectors. Feature importance was assessed using mean decrease in Gini impurity.</w:t>
      </w:r>
    </w:p>
    <w:p>
      <w:r>
        <w:pict>
          <v:rect style="width:0;height:1.5pt" o:hralign="center" o:hrstd="t" o:hr="t"/>
        </w:pict>
      </w:r>
    </w:p>
    <w:bookmarkEnd w:id="23"/>
    <w:bookmarkEnd w:id="24"/>
    <w:bookmarkStart w:id="25" w:name="training-protocol"/>
    <w:p>
      <w:pPr>
        <w:pStyle w:val="Heading2"/>
      </w:pPr>
      <w:r>
        <w:t xml:space="preserve">2.4 Training Protocol</w:t>
      </w:r>
    </w:p>
    <w:p>
      <w:pPr>
        <w:pStyle w:val="FirstParagraph"/>
      </w:pPr>
      <w:r>
        <w:t xml:space="preserve">All neural network models were implemented in R (v4.6.0) using the Keras (v2.16.1) interface to TensorFlow (v2.17.0). Training used categorical cross-entropy loss with the RMSprop optimizer (FFN, CNN) or Adam (Deep FFN, LSTM, ResNet) at a learning rate of 0.001. Models were trained for 150 epochs with a batch size of 50 and an internal validation split of 20%. Early stopping monitored validation loss with a patience of 10 epochs, restoring the best weights. Learning rate reduction on plateau (factor 0.5, patience 5, minimum 1e-6) was applied as an additional regularization.</w:t>
      </w:r>
    </w:p>
    <w:p>
      <w:pPr>
        <w:pStyle w:val="BodyText"/>
      </w:pPr>
      <w:r>
        <w:t xml:space="preserve">All training was performed on a 4-core CPU (Intel) with TensorFlow intra-op parallelism set to 4 threads and inter-op parallelism set to 2 threads. A doParallel backend (4-core PSOCK cluster) was configured for cross-validation fold parallelization.</w:t>
      </w:r>
    </w:p>
    <w:p>
      <w:r>
        <w:pict>
          <v:rect style="width:0;height:1.5pt" o:hralign="center" o:hrstd="t" o:hr="t"/>
        </w:pict>
      </w:r>
    </w:p>
    <w:bookmarkEnd w:id="25"/>
    <w:bookmarkStart w:id="26" w:name="performance-evaluation"/>
    <w:p>
      <w:pPr>
        <w:pStyle w:val="Heading2"/>
      </w:pPr>
      <w:r>
        <w:t xml:space="preserve">2.5 Performance Evaluation</w:t>
      </w:r>
    </w:p>
    <w:p>
      <w:pPr>
        <w:pStyle w:val="FirstParagraph"/>
      </w:pPr>
      <w:r>
        <w:t xml:space="preserve">Model performance was evaluated on the held-out 10% test set using the following metrics:</w:t>
      </w:r>
    </w:p>
    <w:p>
      <w:pPr>
        <w:pStyle w:val="Compact"/>
        <w:numPr>
          <w:ilvl w:val="0"/>
          <w:numId w:val="1002"/>
        </w:numPr>
      </w:pPr>
      <w:r>
        <w:rPr>
          <w:b/>
          <w:bCs/>
        </w:rPr>
        <w:t xml:space="preserve">Accuracy</w:t>
      </w:r>
      <w:r>
        <w:t xml:space="preserve">: proportion of correct classifications across all three classes</w:t>
      </w:r>
    </w:p>
    <w:p>
      <w:pPr>
        <w:pStyle w:val="Compact"/>
        <w:numPr>
          <w:ilvl w:val="0"/>
          <w:numId w:val="1002"/>
        </w:numPr>
      </w:pPr>
      <w:r>
        <w:rPr>
          <w:b/>
          <w:bCs/>
        </w:rPr>
        <w:t xml:space="preserve">Per-class F1 score</w:t>
      </w:r>
      <w:r>
        <w:t xml:space="preserve">: harmonic mean of precision and recall for each class (NB, WB, SB)</w:t>
      </w:r>
    </w:p>
    <w:p>
      <w:pPr>
        <w:pStyle w:val="Compact"/>
        <w:numPr>
          <w:ilvl w:val="0"/>
          <w:numId w:val="1002"/>
        </w:numPr>
      </w:pPr>
      <w:r>
        <w:rPr>
          <w:b/>
          <w:bCs/>
        </w:rPr>
        <w:t xml:space="preserve">Macro-averaged F1</w:t>
      </w:r>
      <w:r>
        <w:t xml:space="preserve">: unweighted mean of per-class F1 scores, accounting for class imbalance sensitivity</w:t>
      </w:r>
    </w:p>
    <w:p>
      <w:pPr>
        <w:pStyle w:val="Compact"/>
        <w:numPr>
          <w:ilvl w:val="0"/>
          <w:numId w:val="1002"/>
        </w:numPr>
      </w:pPr>
      <w:r>
        <w:rPr>
          <w:b/>
          <w:bCs/>
        </w:rPr>
        <w:t xml:space="preserve">Area under the ROC curve (AUC)</w:t>
      </w:r>
      <w:r>
        <w:t xml:space="preserve">: calculated using the one-vs-rest approach with the binding score (P(SB) + 0.5 * P(WB)) as the continuous predictor</w:t>
      </w:r>
    </w:p>
    <w:p>
      <w:pPr>
        <w:pStyle w:val="FirstParagraph"/>
      </w:pPr>
      <w:r>
        <w:t xml:space="preserve">For the benchmark evaluation, sensitivity (recall), specificity, precision (positive predictive value), and ROC AUC were reported against the IEDB-validated labels. Confusion matrices were constructed with SB and WB combined as the positive class (predicted binder) and NB as the negative class.</w:t>
      </w:r>
    </w:p>
    <w:p>
      <w:r>
        <w:pict>
          <v:rect style="width:0;height:1.5pt" o:hralign="center" o:hrstd="t" o:hr="t"/>
        </w:pict>
      </w:r>
    </w:p>
    <w:bookmarkEnd w:id="26"/>
    <w:bookmarkStart w:id="27" w:name="cross-validation"/>
    <w:p>
      <w:pPr>
        <w:pStyle w:val="Heading2"/>
      </w:pPr>
      <w:r>
        <w:t xml:space="preserve">2.6 Cross-Validation</w:t>
      </w:r>
    </w:p>
    <w:p>
      <w:pPr>
        <w:pStyle w:val="FirstParagraph"/>
      </w:pPr>
      <w:r>
        <w:t xml:space="preserve">Five-fold stratified cross-validation was performed using the FFN architecture to assess generalization performance. Fold assignments maintained class proportions through stratified sampling. For each fold, a model was trained de novo on 80% of the data and evaluated on the held-out 20%, with the same hyperparameters as the main training protocol. Ensemble predictions were obtained by averaging the binding scores across all five fold models (</w:t>
      </w:r>
      <w:r>
        <w:t xml:space="preserve">“wisdom of the crowd”</w:t>
      </w:r>
      <w:r>
        <w:t xml:space="preserve">). Mean accuracy and standard deviation across folds are reported.</w:t>
      </w:r>
    </w:p>
    <w:p>
      <w:r>
        <w:pict>
          <v:rect style="width:0;height:1.5pt" o:hralign="center" o:hrstd="t" o:hr="t"/>
        </w:pict>
      </w:r>
    </w:p>
    <w:bookmarkEnd w:id="27"/>
    <w:bookmarkStart w:id="28" w:name="feature-extraction-and-analysis"/>
    <w:p>
      <w:pPr>
        <w:pStyle w:val="Heading2"/>
      </w:pPr>
      <w:r>
        <w:t xml:space="preserve">2.7 Feature Extraction and Analysis</w:t>
      </w:r>
    </w:p>
    <w:p>
      <w:pPr>
        <w:pStyle w:val="FirstParagraph"/>
      </w:pPr>
      <w:r>
        <w:t xml:space="preserve">Learned feature representations were extracted from the penultimate dense layer (90 units for FFN, 128 units for ResNet) of each trained model using a truncated model that outputs activations at that layer. These learned features, along with the raw 180-dimensional BLOSUM62 encoding and the model’s predicted class probabilities, were compiled into a comprehensive feature matrix (</w:t>
      </w:r>
      <w:r>
        <w:rPr>
          <w:rStyle w:val="VerbatimChar"/>
        </w:rPr>
        <w:t xml:space="preserve">feature.csv</w:t>
      </w:r>
      <w:r>
        <w:t xml:space="preserve">) for downstream analysis.</w:t>
      </w:r>
    </w:p>
    <w:p>
      <w:pPr>
        <w:pStyle w:val="BodyText"/>
      </w:pPr>
      <w:r>
        <w:t xml:space="preserve">Hierarchical clustering (Ward’s method with Euclidean distance) was applied to the learned feature representations of top epitope candidates to assess whether the model had learned biologically meaningful internal representations. Feature importance for binding prediction was assessed by computing the Pearson correlation between each learned feature and the continuous binding score across all training peptides.</w:t>
      </w:r>
    </w:p>
    <w:p>
      <w:r>
        <w:pict>
          <v:rect style="width:0;height:1.5pt" o:hralign="center" o:hrstd="t" o:hr="t"/>
        </w:pict>
      </w:r>
    </w:p>
    <w:bookmarkEnd w:id="28"/>
    <w:bookmarkStart w:id="29" w:name="protein-epitope-scanning"/>
    <w:p>
      <w:pPr>
        <w:pStyle w:val="Heading2"/>
      </w:pPr>
      <w:r>
        <w:t xml:space="preserve">2.8 Protein Epitope Scanning</w:t>
      </w:r>
    </w:p>
    <w:p>
      <w:pPr>
        <w:pStyle w:val="FirstParagraph"/>
      </w:pPr>
      <w:r>
        <w:t xml:space="preserve">Ten proteins of immunotherapeutic relevance were scanned for candidate HLA-A*02:01 epitopes using a sliding 9-mer window approach (stride = 1). The protein set comprised:</w:t>
      </w:r>
    </w:p>
    <w:p>
      <w:pPr>
        <w:pStyle w:val="Compact"/>
        <w:numPr>
          <w:ilvl w:val="0"/>
          <w:numId w:val="1003"/>
        </w:numPr>
      </w:pPr>
      <w:r>
        <w:rPr>
          <w:b/>
          <w:bCs/>
        </w:rPr>
        <w:t xml:space="preserve">Melanoma antigens</w:t>
      </w:r>
      <w:r>
        <w:t xml:space="preserve">: MART-1/Melan-A, gp100/PMEL, tyrosinase</w:t>
      </w:r>
    </w:p>
    <w:p>
      <w:pPr>
        <w:pStyle w:val="Compact"/>
        <w:numPr>
          <w:ilvl w:val="0"/>
          <w:numId w:val="1003"/>
        </w:numPr>
      </w:pPr>
      <w:r>
        <w:rPr>
          <w:b/>
          <w:bCs/>
        </w:rPr>
        <w:t xml:space="preserve">Cancer/testis antigens</w:t>
      </w:r>
      <w:r>
        <w:t xml:space="preserve">: NY-ESO-1 (CTAG1B)</w:t>
      </w:r>
    </w:p>
    <w:p>
      <w:pPr>
        <w:pStyle w:val="Compact"/>
        <w:numPr>
          <w:ilvl w:val="0"/>
          <w:numId w:val="1003"/>
        </w:numPr>
      </w:pPr>
      <w:r>
        <w:rPr>
          <w:b/>
          <w:bCs/>
        </w:rPr>
        <w:t xml:space="preserve">Tumor suppressors/oncogenes</w:t>
      </w:r>
      <w:r>
        <w:t xml:space="preserve">: p53, KRAS</w:t>
      </w:r>
    </w:p>
    <w:p>
      <w:pPr>
        <w:pStyle w:val="Compact"/>
        <w:numPr>
          <w:ilvl w:val="0"/>
          <w:numId w:val="1003"/>
        </w:numPr>
      </w:pPr>
      <w:r>
        <w:rPr>
          <w:b/>
          <w:bCs/>
        </w:rPr>
        <w:t xml:space="preserve">Tumor-associated antigens</w:t>
      </w:r>
      <w:r>
        <w:t xml:space="preserve">: WT1</w:t>
      </w:r>
    </w:p>
    <w:p>
      <w:pPr>
        <w:pStyle w:val="Compact"/>
        <w:numPr>
          <w:ilvl w:val="0"/>
          <w:numId w:val="1003"/>
        </w:numPr>
      </w:pPr>
      <w:r>
        <w:rPr>
          <w:b/>
          <w:bCs/>
        </w:rPr>
        <w:t xml:space="preserve">Viral antigens</w:t>
      </w:r>
      <w:r>
        <w:t xml:space="preserve">: influenza A M1, CMV pp65, SARS-CoV-2 spike RBD</w:t>
      </w:r>
    </w:p>
    <w:p>
      <w:pPr>
        <w:pStyle w:val="FirstParagraph"/>
      </w:pPr>
      <w:r>
        <w:t xml:space="preserve">For each 9-mer window, the trained Deep FFN model predicted SB/WB/NB class probabilities. Peptides were ranked by a composite binding score (P(SB) * 1.0 + P(WB) * 0.5). The top 20 candidates across all proteins were compiled and annotated with clinical context. Known HLA-A*02:01 epitopes from IEDB were used to validate the scanning approach.</w:t>
      </w:r>
    </w:p>
    <w:p>
      <w:r>
        <w:pict>
          <v:rect style="width:0;height:1.5pt" o:hralign="center" o:hrstd="t" o:hr="t"/>
        </w:pict>
      </w:r>
    </w:p>
    <w:bookmarkEnd w:id="29"/>
    <w:bookmarkStart w:id="30" w:name="cancer-hotspot-mutation-scanning"/>
    <w:p>
      <w:pPr>
        <w:pStyle w:val="Heading2"/>
      </w:pPr>
      <w:r>
        <w:t xml:space="preserve">2.9 Cancer Hotspot Mutation Scanning</w:t>
      </w:r>
    </w:p>
    <w:p>
      <w:pPr>
        <w:pStyle w:val="FirstParagraph"/>
      </w:pPr>
      <w:r>
        <w:t xml:space="preserve">Sixteen recurrent cancer hotspot mutations were analyzed for their effect on peptide-MHC binding: seven in p53 (R175H, Y220C, G245S, R248W, R249S, R273H, R282W) and nine in KRAS (G12D, G12V, G12C, G12R, G13D, Q61H, Q61L, Q61R, A146T). For each mutation, nine overlapping 9-mer windows spanning the mutation position were extracted from both the wild-type and mutant protein sequences. Binding scores were predicted for each peptide, and the change in binding score (delta = mutant - wild-type) was computed. Mutations were classified as:</w:t>
      </w:r>
    </w:p>
    <w:p>
      <w:pPr>
        <w:pStyle w:val="Compact"/>
        <w:numPr>
          <w:ilvl w:val="0"/>
          <w:numId w:val="1004"/>
        </w:numPr>
      </w:pPr>
      <w:r>
        <w:rPr>
          <w:b/>
          <w:bCs/>
        </w:rPr>
        <w:t xml:space="preserve">Created</w:t>
      </w:r>
      <w:r>
        <w:t xml:space="preserve">: wild-type NB, mutant SB or WB (potential neoantigen)</w:t>
      </w:r>
    </w:p>
    <w:p>
      <w:pPr>
        <w:pStyle w:val="Compact"/>
        <w:numPr>
          <w:ilvl w:val="0"/>
          <w:numId w:val="1004"/>
        </w:numPr>
      </w:pPr>
      <w:r>
        <w:rPr>
          <w:b/>
          <w:bCs/>
        </w:rPr>
        <w:t xml:space="preserve">Enhanced</w:t>
      </w:r>
      <w:r>
        <w:t xml:space="preserve">: both binders, mutant score &gt; wild-type + 0.1</w:t>
      </w:r>
    </w:p>
    <w:p>
      <w:pPr>
        <w:pStyle w:val="Compact"/>
        <w:numPr>
          <w:ilvl w:val="0"/>
          <w:numId w:val="1004"/>
        </w:numPr>
      </w:pPr>
      <w:r>
        <w:rPr>
          <w:b/>
          <w:bCs/>
        </w:rPr>
        <w:t xml:space="preserve">Destroyed</w:t>
      </w:r>
      <w:r>
        <w:t xml:space="preserve">: wild-type binder, mutant NB (immune evasion)</w:t>
      </w:r>
    </w:p>
    <w:p>
      <w:pPr>
        <w:pStyle w:val="Compact"/>
        <w:numPr>
          <w:ilvl w:val="0"/>
          <w:numId w:val="1004"/>
        </w:numPr>
      </w:pPr>
      <w:r>
        <w:rPr>
          <w:b/>
          <w:bCs/>
        </w:rPr>
        <w:t xml:space="preserve">Weakened</w:t>
      </w:r>
      <w:r>
        <w:t xml:space="preserve">: both binders, mutant score &lt; wild-type - 0.1</w:t>
      </w:r>
    </w:p>
    <w:p>
      <w:pPr>
        <w:pStyle w:val="Compact"/>
        <w:numPr>
          <w:ilvl w:val="0"/>
          <w:numId w:val="1004"/>
        </w:numPr>
      </w:pPr>
      <w:r>
        <w:rPr>
          <w:b/>
          <w:bCs/>
        </w:rPr>
        <w:t xml:space="preserve">Unchanged</w:t>
      </w:r>
      <w:r>
        <w:t xml:space="preserve">: no class change and score difference &lt;= 0.1</w:t>
      </w:r>
    </w:p>
    <w:p>
      <w:r>
        <w:pict>
          <v:rect style="width:0;height:1.5pt" o:hralign="center" o:hrstd="t" o:hr="t"/>
        </w:pict>
      </w:r>
    </w:p>
    <w:bookmarkEnd w:id="30"/>
    <w:bookmarkStart w:id="31" w:name="statistical-analysis"/>
    <w:p>
      <w:pPr>
        <w:pStyle w:val="Heading2"/>
      </w:pPr>
      <w:r>
        <w:t xml:space="preserve">2.10 Statistical Analysis</w:t>
      </w:r>
    </w:p>
    <w:p>
      <w:pPr>
        <w:pStyle w:val="FirstParagraph"/>
      </w:pPr>
      <w:r>
        <w:t xml:space="preserve">All statistical analyses were performed in R v4.6.0. Model performance metrics are reported as point estimates with empirical 95% confidence intervals where appropriate. Cross-validation results are reported as mean +/- standard deviation across folds. ROC curves were generated using the pROC package (Robin et al., 2011), with AUC calculated by the trapezoidal rule. The DeLong method was used for AUC confidence intervals.</w:t>
      </w:r>
    </w:p>
    <w:p>
      <w:r>
        <w:pict>
          <v:rect style="width:0;height:1.5pt" o:hralign="center" o:hrstd="t" o:hr="t"/>
        </w:pict>
      </w:r>
    </w:p>
    <w:bookmarkEnd w:id="31"/>
    <w:bookmarkStart w:id="32" w:name="data-and-code-availability"/>
    <w:p>
      <w:pPr>
        <w:pStyle w:val="Heading2"/>
      </w:pPr>
      <w:r>
        <w:t xml:space="preserve">2.11 Data and Code Availability</w:t>
      </w:r>
    </w:p>
    <w:p>
      <w:pPr>
        <w:pStyle w:val="FirstParagraph"/>
      </w:pPr>
      <w:r>
        <w:t xml:space="preserve">The complete analysis pipeline, trained models, feature matrices, and prediction results are available in the accompanying data package (</w:t>
      </w:r>
      <w:r>
        <w:rPr>
          <w:rStyle w:val="VerbatimChar"/>
        </w:rPr>
        <w:t xml:space="preserve">manuscript_data_package.tar.gz</w:t>
      </w:r>
      <w:r>
        <w:t xml:space="preserve">). The primary analysis script (</w:t>
      </w:r>
      <w:r>
        <w:rPr>
          <w:rStyle w:val="VerbatimChar"/>
        </w:rPr>
        <w:t xml:space="preserve">peptide_mhc_binding_study.R</w:t>
      </w:r>
      <w:r>
        <w:t xml:space="preserve">, 1,700+ lines) is fully documented and modular. Individual analysis scripts for protein scanning, benchmarking, and mutation analysis are also provided. The MHCflurry 2.2.0 predictor used for training data generation is available at https://github.com/openvax/mhcflurry.</w:t>
      </w:r>
    </w:p>
    <w:p>
      <w:r>
        <w:pict>
          <v:rect style="width:0;height:1.5pt" o:hralign="center" o:hrstd="t" o:hr="t"/>
        </w:pict>
      </w:r>
    </w:p>
    <w:bookmarkEnd w:id="32"/>
    <w:bookmarkStart w:id="33" w:name="references-1"/>
    <w:p>
      <w:pPr>
        <w:pStyle w:val="Heading2"/>
      </w:pPr>
      <w:r>
        <w:t xml:space="preserve">References</w:t>
      </w:r>
    </w:p>
    <w:p>
      <w:pPr>
        <w:pStyle w:val="Compact"/>
        <w:numPr>
          <w:ilvl w:val="0"/>
          <w:numId w:val="1005"/>
        </w:numPr>
      </w:pPr>
      <w:r>
        <w:t xml:space="preserve">Breiman, L. (2001). Random forests.</w:t>
      </w:r>
      <w:r>
        <w:t xml:space="preserve"> </w:t>
      </w:r>
      <w:r>
        <w:rPr>
          <w:i/>
          <w:iCs/>
        </w:rPr>
        <w:t xml:space="preserve">Machine Learning</w:t>
      </w:r>
      <w:r>
        <w:t xml:space="preserve">, 45(1), 5-32.</w:t>
      </w:r>
    </w:p>
    <w:p>
      <w:pPr>
        <w:pStyle w:val="Compact"/>
        <w:numPr>
          <w:ilvl w:val="0"/>
          <w:numId w:val="1005"/>
        </w:numPr>
      </w:pPr>
      <w:r>
        <w:t xml:space="preserve">He, K., Zhang, X., Ren, S., &amp; Sun, J. (2016). Deep residual learning for image recognition.</w:t>
      </w:r>
      <w:r>
        <w:t xml:space="preserve"> </w:t>
      </w:r>
      <w:r>
        <w:rPr>
          <w:i/>
          <w:iCs/>
        </w:rPr>
        <w:t xml:space="preserve">CVPR</w:t>
      </w:r>
      <w:r>
        <w:t xml:space="preserve">, 770-778.</w:t>
      </w:r>
    </w:p>
    <w:p>
      <w:pPr>
        <w:pStyle w:val="Compact"/>
        <w:numPr>
          <w:ilvl w:val="0"/>
          <w:numId w:val="1005"/>
        </w:numPr>
      </w:pPr>
      <w:r>
        <w:t xml:space="preserve">Henikoff, S., &amp; Henikoff, J.G. (1992). Amino acid substitution matrices from protein blocks.</w:t>
      </w:r>
      <w:r>
        <w:t xml:space="preserve"> </w:t>
      </w:r>
      <w:r>
        <w:rPr>
          <w:i/>
          <w:iCs/>
        </w:rPr>
        <w:t xml:space="preserve">PNAS</w:t>
      </w:r>
      <w:r>
        <w:t xml:space="preserve">, 89(22), 10915-10919.</w:t>
      </w:r>
    </w:p>
    <w:p>
      <w:pPr>
        <w:pStyle w:val="Compact"/>
        <w:numPr>
          <w:ilvl w:val="0"/>
          <w:numId w:val="1005"/>
        </w:numPr>
      </w:pPr>
      <w:r>
        <w:t xml:space="preserve">Ioffe, S., &amp; Szegedy, C. (2015). Batch normalization.</w:t>
      </w:r>
      <w:r>
        <w:t xml:space="preserve"> </w:t>
      </w:r>
      <w:r>
        <w:rPr>
          <w:i/>
          <w:iCs/>
        </w:rPr>
        <w:t xml:space="preserve">ICML</w:t>
      </w:r>
      <w:r>
        <w:t xml:space="preserve">, 448-456.</w:t>
      </w:r>
    </w:p>
    <w:p>
      <w:pPr>
        <w:pStyle w:val="Compact"/>
        <w:numPr>
          <w:ilvl w:val="0"/>
          <w:numId w:val="1005"/>
        </w:numPr>
      </w:pPr>
      <w:r>
        <w:t xml:space="preserve">Jessen, L.E. (2018). Deep learning for cancer immunotherapy. RStudio AI Blog.</w:t>
      </w:r>
    </w:p>
    <w:p>
      <w:pPr>
        <w:pStyle w:val="Compact"/>
        <w:numPr>
          <w:ilvl w:val="0"/>
          <w:numId w:val="1005"/>
        </w:numPr>
      </w:pPr>
      <w:r>
        <w:t xml:space="preserve">O’Donnell, T.J., et al. (2020). MHCflurry 2.0.</w:t>
      </w:r>
      <w:r>
        <w:t xml:space="preserve"> </w:t>
      </w:r>
      <w:r>
        <w:rPr>
          <w:i/>
          <w:iCs/>
        </w:rPr>
        <w:t xml:space="preserve">Cell Systems</w:t>
      </w:r>
      <w:r>
        <w:t xml:space="preserve">, 11(1), 42-48.</w:t>
      </w:r>
    </w:p>
    <w:p>
      <w:pPr>
        <w:pStyle w:val="Compact"/>
        <w:numPr>
          <w:ilvl w:val="0"/>
          <w:numId w:val="1005"/>
        </w:numPr>
      </w:pPr>
      <w:r>
        <w:t xml:space="preserve">Reynisson, B., et al. (2020). NetMHCpan-4.1.</w:t>
      </w:r>
      <w:r>
        <w:t xml:space="preserve"> </w:t>
      </w:r>
      <w:r>
        <w:rPr>
          <w:i/>
          <w:iCs/>
        </w:rPr>
        <w:t xml:space="preserve">Nucleic Acids Research</w:t>
      </w:r>
      <w:r>
        <w:t xml:space="preserve">, 48(W1).</w:t>
      </w:r>
    </w:p>
    <w:p>
      <w:pPr>
        <w:pStyle w:val="Compact"/>
        <w:numPr>
          <w:ilvl w:val="0"/>
          <w:numId w:val="1005"/>
        </w:numPr>
      </w:pPr>
      <w:r>
        <w:t xml:space="preserve">Robin, X., et al. (2011). pROC: an open-source package for R and S+ to analyze and compare ROC curves.</w:t>
      </w:r>
      <w:r>
        <w:t xml:space="preserve"> </w:t>
      </w:r>
      <w:r>
        <w:rPr>
          <w:i/>
          <w:iCs/>
        </w:rPr>
        <w:t xml:space="preserve">BMC Bioinformatics</w:t>
      </w:r>
      <w:r>
        <w:t xml:space="preserve">, 12, 77.</w:t>
      </w:r>
    </w:p>
    <w:p>
      <w:pPr>
        <w:pStyle w:val="Compact"/>
        <w:numPr>
          <w:ilvl w:val="0"/>
          <w:numId w:val="1005"/>
        </w:numPr>
      </w:pPr>
      <w:r>
        <w:t xml:space="preserve">Srivastava, N., et al. (2014). Dropout: a simple way to prevent neural networks from overfitting.</w:t>
      </w:r>
      <w:r>
        <w:t xml:space="preserve"> </w:t>
      </w:r>
      <w:r>
        <w:rPr>
          <w:i/>
          <w:iCs/>
        </w:rPr>
        <w:t xml:space="preserve">JMLR</w:t>
      </w:r>
      <w:r>
        <w:t xml:space="preserve">, 15(1), 1929-1958.</w:t>
      </w:r>
    </w:p>
    <w:p>
      <w:pPr>
        <w:pStyle w:val="Compact"/>
        <w:numPr>
          <w:ilvl w:val="0"/>
          <w:numId w:val="1005"/>
        </w:numPr>
      </w:pPr>
      <w:r>
        <w:t xml:space="preserve">Vita, R., et al. (2019). The Immune Epitope Database (IEDB): 2018 update.</w:t>
      </w:r>
      <w:r>
        <w:t xml:space="preserve"> </w:t>
      </w:r>
      <w:r>
        <w:rPr>
          <w:i/>
          <w:iCs/>
        </w:rPr>
        <w:t xml:space="preserve">Nucleic Acids Research</w:t>
      </w:r>
      <w:r>
        <w:t xml:space="preserve">, 47(D1).</w:t>
      </w:r>
    </w:p>
    <w:bookmarkEnd w:id="33"/>
    <w:bookmarkEnd w:id="34"/>
    <w:bookmarkStart w:id="40" w:name="results"/>
    <w:p>
      <w:pPr>
        <w:pStyle w:val="Heading1"/>
      </w:pPr>
      <w:r>
        <w:t xml:space="preserve">Results</w:t>
      </w:r>
    </w:p>
    <w:p>
      <w:r>
        <w:pict>
          <v:rect style="width:0;height:1.5pt" o:hralign="center" o:hrstd="t" o:hr="t"/>
        </w:pict>
      </w:r>
    </w:p>
    <w:bookmarkStart w:id="35" w:name="training-data-and-model-comparison"/>
    <w:p>
      <w:pPr>
        <w:pStyle w:val="Heading2"/>
      </w:pPr>
      <w:r>
        <w:t xml:space="preserve">3.1 Training Data and Model Comparison</w:t>
      </w:r>
    </w:p>
    <w:p>
      <w:pPr>
        <w:pStyle w:val="FirstParagraph"/>
      </w:pPr>
      <w:r>
        <w:t xml:space="preserve">MHCflurry 2.2.0-labeled 9-mer peptides (5,088; 1,696 per SB/WB/NB class) were used to train six architectures with BLOSUM62 encoding. The Deep FFN (360-BN-180-BN-90-45-3; 152,823 parameters) achieved the highest accuracy (91.9%, macro F1 0.921), outperforming the original Jessen FFN by 1.0pp, CNN by 1.9pp, ResNet by 7.6pp, LSTM by 8.6pp, and Random Forest by 10.8pp (Table 1). Five-fold cross-validation confirmed stable generalization (89.6 ± 0.8%). Label quality was the dominant performance determinant: PSSM-derived labels inflated accuracy to 94.8%, while MHCflurry labels produced a more realistic 91.9% baseline.</w:t>
      </w:r>
    </w:p>
    <w:p>
      <w:pPr>
        <w:pStyle w:val="BodyText"/>
      </w:pPr>
      <w:r>
        <w:rPr>
          <w:b/>
          <w:bCs/>
        </w:rPr>
        <w:t xml:space="preserve">Table 1. Model performance.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center"/>
            </w:pPr>
            <w:r>
              <w:t xml:space="preserve">Accuracy</w:t>
            </w:r>
          </w:p>
        </w:tc>
        <w:tc>
          <w:tcPr/>
          <w:p>
            <w:pPr>
              <w:pStyle w:val="Compact"/>
              <w:jc w:val="center"/>
            </w:pPr>
            <w:r>
              <w:t xml:space="preserve">Macro F1</w:t>
            </w:r>
          </w:p>
        </w:tc>
        <w:tc>
          <w:tcPr/>
          <w:p>
            <w:pPr>
              <w:pStyle w:val="Compact"/>
              <w:jc w:val="center"/>
            </w:pPr>
            <w:r>
              <w:t xml:space="preserve">NB F1</w:t>
            </w:r>
          </w:p>
        </w:tc>
        <w:tc>
          <w:tcPr/>
          <w:p>
            <w:pPr>
              <w:pStyle w:val="Compact"/>
              <w:jc w:val="center"/>
            </w:pPr>
            <w:r>
              <w:t xml:space="preserve">WB F1</w:t>
            </w:r>
          </w:p>
        </w:tc>
        <w:tc>
          <w:tcPr/>
          <w:p>
            <w:pPr>
              <w:pStyle w:val="Compact"/>
              <w:jc w:val="center"/>
            </w:pPr>
            <w:r>
              <w:t xml:space="preserve">SB F1</w:t>
            </w:r>
          </w:p>
        </w:tc>
      </w:tr>
      <w:tr>
        <w:tc>
          <w:tcPr/>
          <w:p>
            <w:pPr>
              <w:pStyle w:val="Compact"/>
            </w:pPr>
            <w:r>
              <w:t xml:space="preserve">Deep FFN</w:t>
            </w:r>
          </w:p>
        </w:tc>
        <w:tc>
          <w:tcPr/>
          <w:p>
            <w:pPr>
              <w:pStyle w:val="Compact"/>
              <w:jc w:val="center"/>
            </w:pPr>
            <w:r>
              <w:rPr>
                <w:b/>
                <w:bCs/>
              </w:rPr>
              <w:t xml:space="preserve">91.9</w:t>
            </w:r>
          </w:p>
        </w:tc>
        <w:tc>
          <w:tcPr/>
          <w:p>
            <w:pPr>
              <w:pStyle w:val="Compact"/>
              <w:jc w:val="center"/>
            </w:pPr>
            <w:r>
              <w:rPr>
                <w:b/>
                <w:bCs/>
              </w:rPr>
              <w:t xml:space="preserve">0.921</w:t>
            </w:r>
          </w:p>
        </w:tc>
        <w:tc>
          <w:tcPr/>
          <w:p>
            <w:pPr>
              <w:pStyle w:val="Compact"/>
              <w:jc w:val="center"/>
            </w:pPr>
            <w:r>
              <w:t xml:space="preserve">0.969</w:t>
            </w:r>
          </w:p>
        </w:tc>
        <w:tc>
          <w:tcPr/>
          <w:p>
            <w:pPr>
              <w:pStyle w:val="Compact"/>
              <w:jc w:val="center"/>
            </w:pPr>
            <w:r>
              <w:t xml:space="preserve">0.880</w:t>
            </w:r>
          </w:p>
        </w:tc>
        <w:tc>
          <w:tcPr/>
          <w:p>
            <w:pPr>
              <w:pStyle w:val="Compact"/>
              <w:jc w:val="center"/>
            </w:pPr>
            <w:r>
              <w:t xml:space="preserve">0.913</w:t>
            </w:r>
          </w:p>
        </w:tc>
      </w:tr>
      <w:tr>
        <w:tc>
          <w:tcPr/>
          <w:p>
            <w:pPr>
              <w:pStyle w:val="Compact"/>
            </w:pPr>
            <w:r>
              <w:t xml:space="preserve">FFN (Jessen)</w:t>
            </w:r>
          </w:p>
        </w:tc>
        <w:tc>
          <w:tcPr/>
          <w:p>
            <w:pPr>
              <w:pStyle w:val="Compact"/>
              <w:jc w:val="center"/>
            </w:pPr>
            <w:r>
              <w:t xml:space="preserve">90.9</w:t>
            </w:r>
          </w:p>
        </w:tc>
        <w:tc>
          <w:tcPr/>
          <w:p>
            <w:pPr>
              <w:pStyle w:val="Compact"/>
              <w:jc w:val="center"/>
            </w:pPr>
            <w:r>
              <w:t xml:space="preserve">0.911</w:t>
            </w:r>
          </w:p>
        </w:tc>
        <w:tc>
          <w:tcPr/>
          <w:p>
            <w:pPr>
              <w:pStyle w:val="Compact"/>
              <w:jc w:val="center"/>
            </w:pPr>
            <w:r>
              <w:t xml:space="preserve">0.969</w:t>
            </w:r>
          </w:p>
        </w:tc>
        <w:tc>
          <w:tcPr/>
          <w:p>
            <w:pPr>
              <w:pStyle w:val="Compact"/>
              <w:jc w:val="center"/>
            </w:pPr>
            <w:r>
              <w:t xml:space="preserve">0.875</w:t>
            </w:r>
          </w:p>
        </w:tc>
        <w:tc>
          <w:tcPr/>
          <w:p>
            <w:pPr>
              <w:pStyle w:val="Compact"/>
              <w:jc w:val="center"/>
            </w:pPr>
            <w:r>
              <w:t xml:space="preserve">0.891</w:t>
            </w:r>
          </w:p>
        </w:tc>
      </w:tr>
      <w:tr>
        <w:tc>
          <w:tcPr/>
          <w:p>
            <w:pPr>
              <w:pStyle w:val="Compact"/>
            </w:pPr>
            <w:r>
              <w:t xml:space="preserve">CNN</w:t>
            </w:r>
          </w:p>
        </w:tc>
        <w:tc>
          <w:tcPr/>
          <w:p>
            <w:pPr>
              <w:pStyle w:val="Compact"/>
              <w:jc w:val="center"/>
            </w:pPr>
            <w:r>
              <w:t xml:space="preserve">90.0</w:t>
            </w:r>
          </w:p>
        </w:tc>
        <w:tc>
          <w:tcPr/>
          <w:p>
            <w:pPr>
              <w:pStyle w:val="Compact"/>
              <w:jc w:val="center"/>
            </w:pPr>
            <w:r>
              <w:t xml:space="preserve">0.901</w:t>
            </w:r>
          </w:p>
        </w:tc>
        <w:tc>
          <w:tcPr/>
          <w:p>
            <w:pPr>
              <w:pStyle w:val="Compact"/>
              <w:jc w:val="center"/>
            </w:pPr>
            <w:r>
              <w:t xml:space="preserve">0.963</w:t>
            </w:r>
          </w:p>
        </w:tc>
        <w:tc>
          <w:tcPr/>
          <w:p>
            <w:pPr>
              <w:pStyle w:val="Compact"/>
              <w:jc w:val="center"/>
            </w:pPr>
            <w:r>
              <w:t xml:space="preserve">0.860</w:t>
            </w:r>
          </w:p>
        </w:tc>
        <w:tc>
          <w:tcPr/>
          <w:p>
            <w:pPr>
              <w:pStyle w:val="Compact"/>
              <w:jc w:val="center"/>
            </w:pPr>
            <w:r>
              <w:t xml:space="preserve">0.882</w:t>
            </w:r>
          </w:p>
        </w:tc>
      </w:tr>
      <w:tr>
        <w:tc>
          <w:tcPr/>
          <w:p>
            <w:pPr>
              <w:pStyle w:val="Compact"/>
            </w:pPr>
            <w:r>
              <w:t xml:space="preserve">ResNet</w:t>
            </w:r>
          </w:p>
        </w:tc>
        <w:tc>
          <w:tcPr/>
          <w:p>
            <w:pPr>
              <w:pStyle w:val="Compact"/>
              <w:jc w:val="center"/>
            </w:pPr>
            <w:r>
              <w:t xml:space="preserve">84.3</w:t>
            </w:r>
          </w:p>
        </w:tc>
        <w:tc>
          <w:tcPr/>
          <w:p>
            <w:pPr>
              <w:pStyle w:val="Compact"/>
              <w:jc w:val="center"/>
            </w:pPr>
            <w:r>
              <w:t xml:space="preserve">0.847</w:t>
            </w:r>
          </w:p>
        </w:tc>
        <w:tc>
          <w:tcPr/>
          <w:p>
            <w:pPr>
              <w:pStyle w:val="Compact"/>
              <w:jc w:val="center"/>
            </w:pPr>
            <w:r>
              <w:t xml:space="preserve">0.907</w:t>
            </w:r>
          </w:p>
        </w:tc>
        <w:tc>
          <w:tcPr/>
          <w:p>
            <w:pPr>
              <w:pStyle w:val="Compact"/>
              <w:jc w:val="center"/>
            </w:pPr>
            <w:r>
              <w:t xml:space="preserve">0.792</w:t>
            </w:r>
          </w:p>
        </w:tc>
        <w:tc>
          <w:tcPr/>
          <w:p>
            <w:pPr>
              <w:pStyle w:val="Compact"/>
              <w:jc w:val="center"/>
            </w:pPr>
            <w:r>
              <w:t xml:space="preserve">0.843</w:t>
            </w:r>
          </w:p>
        </w:tc>
      </w:tr>
      <w:tr>
        <w:tc>
          <w:tcPr/>
          <w:p>
            <w:pPr>
              <w:pStyle w:val="Compact"/>
            </w:pPr>
            <w:r>
              <w:t xml:space="preserve">LSTM</w:t>
            </w:r>
          </w:p>
        </w:tc>
        <w:tc>
          <w:tcPr/>
          <w:p>
            <w:pPr>
              <w:pStyle w:val="Compact"/>
              <w:jc w:val="center"/>
            </w:pPr>
            <w:r>
              <w:t xml:space="preserve">83.3</w:t>
            </w:r>
          </w:p>
        </w:tc>
        <w:tc>
          <w:tcPr/>
          <w:p>
            <w:pPr>
              <w:pStyle w:val="Compact"/>
              <w:jc w:val="center"/>
            </w:pPr>
            <w:r>
              <w:t xml:space="preserve">0.836</w:t>
            </w:r>
          </w:p>
        </w:tc>
        <w:tc>
          <w:tcPr/>
          <w:p>
            <w:pPr>
              <w:pStyle w:val="Compact"/>
              <w:jc w:val="center"/>
            </w:pPr>
            <w:r>
              <w:t xml:space="preserve">0.935</w:t>
            </w:r>
          </w:p>
        </w:tc>
        <w:tc>
          <w:tcPr/>
          <w:p>
            <w:pPr>
              <w:pStyle w:val="Compact"/>
              <w:jc w:val="center"/>
            </w:pPr>
            <w:r>
              <w:t xml:space="preserve">0.752</w:t>
            </w:r>
          </w:p>
        </w:tc>
        <w:tc>
          <w:tcPr/>
          <w:p>
            <w:pPr>
              <w:pStyle w:val="Compact"/>
              <w:jc w:val="center"/>
            </w:pPr>
            <w:r>
              <w:t xml:space="preserve">0.822</w:t>
            </w:r>
          </w:p>
        </w:tc>
      </w:tr>
      <w:tr>
        <w:tc>
          <w:tcPr/>
          <w:p>
            <w:pPr>
              <w:pStyle w:val="Compact"/>
            </w:pPr>
            <w:r>
              <w:t xml:space="preserve">Random Forest</w:t>
            </w:r>
          </w:p>
        </w:tc>
        <w:tc>
          <w:tcPr/>
          <w:p>
            <w:pPr>
              <w:pStyle w:val="Compact"/>
              <w:jc w:val="center"/>
            </w:pPr>
            <w:r>
              <w:t xml:space="preserve">81.1</w:t>
            </w:r>
          </w:p>
        </w:tc>
        <w:tc>
          <w:tcPr/>
          <w:p>
            <w:pPr>
              <w:pStyle w:val="Compact"/>
              <w:jc w:val="center"/>
            </w:pPr>
            <w:r>
              <w:t xml:space="preserve">0.814</w:t>
            </w:r>
          </w:p>
        </w:tc>
        <w:tc>
          <w:tcPr/>
          <w:p>
            <w:pPr>
              <w:pStyle w:val="Compact"/>
              <w:jc w:val="center"/>
            </w:pPr>
            <w:r>
              <w:t xml:space="preserve">0.927</w:t>
            </w:r>
          </w:p>
        </w:tc>
        <w:tc>
          <w:tcPr/>
          <w:p>
            <w:pPr>
              <w:pStyle w:val="Compact"/>
              <w:jc w:val="center"/>
            </w:pPr>
            <w:r>
              <w:t xml:space="preserve">0.723</w:t>
            </w:r>
          </w:p>
        </w:tc>
        <w:tc>
          <w:tcPr/>
          <w:p>
            <w:pPr>
              <w:pStyle w:val="Compact"/>
              <w:jc w:val="center"/>
            </w:pPr>
            <w:r>
              <w:t xml:space="preserve">0.793</w:t>
            </w:r>
          </w:p>
        </w:tc>
      </w:tr>
    </w:tbl>
    <w:p>
      <w:r>
        <w:pict>
          <v:rect style="width:0;height:1.5pt" o:hralign="center" o:hrstd="t" o:hr="t"/>
        </w:pict>
      </w:r>
    </w:p>
    <w:bookmarkEnd w:id="35"/>
    <w:bookmarkStart w:id="36" w:name="Xbd9078665b8a05e1b9db294ea771fb0e2eea415"/>
    <w:p>
      <w:pPr>
        <w:pStyle w:val="Heading2"/>
      </w:pPr>
      <w:r>
        <w:t xml:space="preserve">3.2 IEDB Benchmark and Real Negative Validation</w:t>
      </w:r>
    </w:p>
    <w:p>
      <w:pPr>
        <w:pStyle w:val="FirstParagraph"/>
      </w:pPr>
      <w:r>
        <w:t xml:space="preserve">The Deep FFN was evaluated against 49 IEDB-validated HLA-A*02:01 T-cell epitopes and 20 homopolymer controls, achieving 93.9% sensitivity (46/49) and 75.0% specificity. All three false negatives possessed non-canonical p9 anchors (K, F, C). A domain-knowledge homopolymer filter (≤2 unique AAs → NB) eliminated all five false positives, confirming that homopolymers are correctly predicted as binders but are biologically incapable of T-cell epitope function.</w:t>
      </w:r>
    </w:p>
    <w:p>
      <w:pPr>
        <w:pStyle w:val="BodyText"/>
      </w:pPr>
      <w:r>
        <w:t xml:space="preserve">To test whether the 100% specificity was an artifact of homopolymer-only negatives, we constructed an extended benchmark with 185 diverse negative peptides (random 9-mers, IEDB non-binders, MHCflurry NB predictions, albumin sliding windows). Under argmax classification, specificity was 88.1% (22 FPs). Replacing argmax with a continuous binding score threshold (pSB + pWB ≥ 0.95) eliminated 10 FPs with zero sensitivity loss, yielding</w:t>
      </w:r>
      <w:r>
        <w:t xml:space="preserve"> </w:t>
      </w:r>
      <w:r>
        <w:rPr>
          <w:b/>
          <w:bCs/>
        </w:rPr>
        <w:t xml:space="preserve">93.5% specificity and F1 = 0.860</w:t>
      </w:r>
      <w:r>
        <w:t xml:space="preserve"> </w:t>
      </w:r>
      <w:r>
        <w:t xml:space="preserve">against diverse real negatives. Per-source specificity: random 9-mers 94%, MHCflurry NB 92%, protein windows 94%, homopolymers 80% (corrected by filter).</w:t>
      </w:r>
    </w:p>
    <w:p>
      <w:r>
        <w:pict>
          <v:rect style="width:0;height:1.5pt" o:hralign="center" o:hrstd="t" o:hr="t"/>
        </w:pict>
      </w:r>
    </w:p>
    <w:bookmarkEnd w:id="36"/>
    <w:bookmarkStart w:id="37" w:name="X7713599cd78918d8ab1e14df5a317338ef84c15"/>
    <w:p>
      <w:pPr>
        <w:pStyle w:val="Heading2"/>
      </w:pPr>
      <w:r>
        <w:t xml:space="preserve">3.3 Protein Language Model Encoding Outperforms BLOSUM62</w:t>
      </w:r>
    </w:p>
    <w:p>
      <w:pPr>
        <w:pStyle w:val="FirstParagraph"/>
      </w:pPr>
      <w:r>
        <w:t xml:space="preserve">We replaced the 180-dimensional BLOSUM62 encoding with per-position embeddings from ESM-2 (t6, 8M parameters), a protein language model trained on 65 million sequences. Mean pooling across positions collapsed performance to 65.9%, confirming that anchor residue positional information is critical. Per-position embeddings (9 × 320 = 2,880-dim), which preserve residue identity at each peptide position, achieved</w:t>
      </w:r>
      <w:r>
        <w:t xml:space="preserve"> </w:t>
      </w:r>
      <w:r>
        <w:rPr>
          <w:b/>
          <w:bCs/>
        </w:rPr>
        <w:t xml:space="preserve">93.3% accuracy</w:t>
      </w:r>
      <w:r>
        <w:t xml:space="preserve"> </w:t>
      </w:r>
      <w:r>
        <w:t xml:space="preserve">— surpassing BLOSUM62 by 1.4 percentage points (Table 2).</w:t>
      </w:r>
    </w:p>
    <w:p>
      <w:pPr>
        <w:pStyle w:val="BodyText"/>
      </w:pPr>
      <w:r>
        <w:t xml:space="preserve">Scaling to ESM-2 t12 (35M parameters, 480-dim per position, 4,320-dim flattened) paradoxically degraded performance to 90.9%. Training dynamics revealed severe overfitting (training accuracy 97.4% vs. test 90.9%) attributable to the unfavorable ratio of input dimensionality (4,320) to training samples (5,088). Even with aggressive regularization (dropout 0.6, L2 weight decay), t12 reached only 91.5%. This counterintuitive result — a smaller PLM outperforming a larger one — reveals a critical design constraint: embedding dimensionality must be matched to available training data size.</w:t>
      </w:r>
    </w:p>
    <w:p>
      <w:pPr>
        <w:pStyle w:val="BodyText"/>
      </w:pPr>
      <w:r>
        <w:rPr>
          <w:b/>
          <w:bCs/>
        </w:rPr>
        <w:t xml:space="preserve">Table 2. ESM-2 vs. BLOSUM62 encoding.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Encoding</w:t>
            </w:r>
          </w:p>
        </w:tc>
        <w:tc>
          <w:tcPr/>
          <w:p>
            <w:pPr>
              <w:pStyle w:val="Compact"/>
              <w:jc w:val="center"/>
            </w:pPr>
            <w:r>
              <w:t xml:space="preserve">Parameters</w:t>
            </w:r>
          </w:p>
        </w:tc>
        <w:tc>
          <w:tcPr/>
          <w:p>
            <w:pPr>
              <w:pStyle w:val="Compact"/>
              <w:jc w:val="center"/>
            </w:pPr>
            <w:r>
              <w:t xml:space="preserve">Dimensions</w:t>
            </w:r>
          </w:p>
        </w:tc>
        <w:tc>
          <w:tcPr/>
          <w:p>
            <w:pPr>
              <w:pStyle w:val="Compact"/>
              <w:jc w:val="center"/>
            </w:pPr>
            <w:r>
              <w:t xml:space="preserve">Accuracy</w:t>
            </w:r>
          </w:p>
        </w:tc>
        <w:tc>
          <w:tcPr/>
          <w:p>
            <w:pPr>
              <w:pStyle w:val="Compact"/>
              <w:jc w:val="center"/>
            </w:pPr>
            <w:r>
              <w:t xml:space="preserve">Δ vs BLOSUM62</w:t>
            </w:r>
          </w:p>
        </w:tc>
      </w:tr>
      <w:tr>
        <w:tc>
          <w:tcPr/>
          <w:p>
            <w:pPr>
              <w:pStyle w:val="Compact"/>
            </w:pPr>
            <w:r>
              <w:t xml:space="preserve">BLOSUM62</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91.9%</w:t>
            </w:r>
          </w:p>
        </w:tc>
        <w:tc>
          <w:tcPr/>
          <w:p>
            <w:pPr>
              <w:pStyle w:val="Compact"/>
              <w:jc w:val="center"/>
            </w:pPr>
            <w:r>
              <w:t xml:space="preserve">baseline</w:t>
            </w:r>
          </w:p>
        </w:tc>
      </w:tr>
      <w:tr>
        <w:tc>
          <w:tcPr/>
          <w:p>
            <w:pPr>
              <w:pStyle w:val="Compact"/>
            </w:pPr>
            <w:r>
              <w:t xml:space="preserve">ESM-2 t6 (mean pool)</w:t>
            </w:r>
          </w:p>
        </w:tc>
        <w:tc>
          <w:tcPr/>
          <w:p>
            <w:pPr>
              <w:pStyle w:val="Compact"/>
              <w:jc w:val="center"/>
            </w:pPr>
            <w:r>
              <w:t xml:space="preserve">8M</w:t>
            </w:r>
          </w:p>
        </w:tc>
        <w:tc>
          <w:tcPr/>
          <w:p>
            <w:pPr>
              <w:pStyle w:val="Compact"/>
              <w:jc w:val="center"/>
            </w:pPr>
            <w:r>
              <w:t xml:space="preserve">320</w:t>
            </w:r>
          </w:p>
        </w:tc>
        <w:tc>
          <w:tcPr/>
          <w:p>
            <w:pPr>
              <w:pStyle w:val="Compact"/>
              <w:jc w:val="center"/>
            </w:pPr>
            <w:r>
              <w:t xml:space="preserve">65.9%</w:t>
            </w:r>
          </w:p>
        </w:tc>
        <w:tc>
          <w:tcPr/>
          <w:p>
            <w:pPr>
              <w:pStyle w:val="Compact"/>
              <w:jc w:val="center"/>
            </w:pPr>
            <w:r>
              <w:t xml:space="preserve">−26.0pp</w:t>
            </w:r>
          </w:p>
        </w:tc>
      </w:tr>
      <w:tr>
        <w:tc>
          <w:tcPr/>
          <w:p>
            <w:pPr>
              <w:pStyle w:val="Compact"/>
            </w:pPr>
            <w:r>
              <w:t xml:space="preserve">ESM-2 t12 (per-pos)</w:t>
            </w:r>
          </w:p>
        </w:tc>
        <w:tc>
          <w:tcPr/>
          <w:p>
            <w:pPr>
              <w:pStyle w:val="Compact"/>
              <w:jc w:val="center"/>
            </w:pPr>
            <w:r>
              <w:t xml:space="preserve">35M</w:t>
            </w:r>
          </w:p>
        </w:tc>
        <w:tc>
          <w:tcPr/>
          <w:p>
            <w:pPr>
              <w:pStyle w:val="Compact"/>
              <w:jc w:val="center"/>
            </w:pPr>
            <w:r>
              <w:t xml:space="preserve">4,320</w:t>
            </w:r>
          </w:p>
        </w:tc>
        <w:tc>
          <w:tcPr/>
          <w:p>
            <w:pPr>
              <w:pStyle w:val="Compact"/>
              <w:jc w:val="center"/>
            </w:pPr>
            <w:r>
              <w:t xml:space="preserve">90.9%</w:t>
            </w:r>
          </w:p>
        </w:tc>
        <w:tc>
          <w:tcPr/>
          <w:p>
            <w:pPr>
              <w:pStyle w:val="Compact"/>
              <w:jc w:val="center"/>
            </w:pPr>
            <w:r>
              <w:t xml:space="preserve">−1.0pp</w:t>
            </w:r>
          </w:p>
        </w:tc>
      </w:tr>
      <w:tr>
        <w:tc>
          <w:tcPr/>
          <w:p>
            <w:pPr>
              <w:pStyle w:val="Compact"/>
            </w:pPr>
            <w:r>
              <w:rPr>
                <w:b/>
                <w:bCs/>
              </w:rPr>
              <w:t xml:space="preserve">ESM-2 t6 (per-pos)</w:t>
            </w:r>
          </w:p>
        </w:tc>
        <w:tc>
          <w:tcPr/>
          <w:p>
            <w:pPr>
              <w:pStyle w:val="Compact"/>
              <w:jc w:val="center"/>
            </w:pPr>
            <w:r>
              <w:rPr>
                <w:b/>
                <w:bCs/>
              </w:rPr>
              <w:t xml:space="preserve">8M</w:t>
            </w:r>
          </w:p>
        </w:tc>
        <w:tc>
          <w:tcPr/>
          <w:p>
            <w:pPr>
              <w:pStyle w:val="Compact"/>
              <w:jc w:val="center"/>
            </w:pPr>
            <w:r>
              <w:rPr>
                <w:b/>
                <w:bCs/>
              </w:rPr>
              <w:t xml:space="preserve">2,880</w:t>
            </w:r>
          </w:p>
        </w:tc>
        <w:tc>
          <w:tcPr/>
          <w:p>
            <w:pPr>
              <w:pStyle w:val="Compact"/>
              <w:jc w:val="center"/>
            </w:pPr>
            <w:r>
              <w:rPr>
                <w:b/>
                <w:bCs/>
              </w:rPr>
              <w:t xml:space="preserve">93.3%</w:t>
            </w:r>
          </w:p>
        </w:tc>
        <w:tc>
          <w:tcPr/>
          <w:p>
            <w:pPr>
              <w:pStyle w:val="Compact"/>
              <w:jc w:val="center"/>
            </w:pPr>
            <w:r>
              <w:rPr>
                <w:b/>
                <w:bCs/>
              </w:rPr>
              <w:t xml:space="preserve">+1.4pp</w:t>
            </w:r>
          </w:p>
        </w:tc>
      </w:tr>
    </w:tbl>
    <w:p>
      <w:r>
        <w:pict>
          <v:rect style="width:0;height:1.5pt" o:hralign="center" o:hrstd="t" o:hr="t"/>
        </w:pict>
      </w:r>
    </w:p>
    <w:bookmarkEnd w:id="37"/>
    <w:bookmarkStart w:id="38" w:name="Xdb5c31202891f2eebc6a8d30a3d7763b1c6e982"/>
    <w:p>
      <w:pPr>
        <w:pStyle w:val="Heading2"/>
      </w:pPr>
      <w:r>
        <w:t xml:space="preserve">3.4 Epitope Discovery: Protein Scanning and Neoepitopes</w:t>
      </w:r>
    </w:p>
    <w:p>
      <w:pPr>
        <w:pStyle w:val="FirstParagraph"/>
      </w:pPr>
      <w:r>
        <w:t xml:space="preserve">Systematic 9-mer scanning of 10 therapeutically relevant proteins (3,536 windows) identified 96 strong binders, including 16 novel high-confidence candidates (binding score ≥ 0.999). Known epitopes were confirmed at 91% sensitivity.</w:t>
      </w:r>
    </w:p>
    <w:p>
      <w:pPr>
        <w:pStyle w:val="BodyText"/>
      </w:pPr>
      <w:r>
        <w:t xml:space="preserve">Cancer hotspot mutation scanning (p53: 7 mutations; KRAS: 9 mutations) identified 7 epitope-altering events, including two CREATED neoepitopes with distinct structural mechanisms:</w:t>
      </w:r>
    </w:p>
    <w:p>
      <w:pPr>
        <w:pStyle w:val="BodyText"/>
      </w:pPr>
      <w:r>
        <w:rPr>
          <w:b/>
          <w:bCs/>
        </w:rPr>
        <w:t xml:space="preserve">KRAS G12V → YKLVVVGAV (Δ = +0.475).</w:t>
      </w:r>
      <w:r>
        <w:t xml:space="preserve"> </w:t>
      </w:r>
      <w:r>
        <w:t xml:space="preserve">The glycine-to-valine substitution at P9 creates a canonical C-terminal anchor, while the non-canonical lysine at P2 (never observed in any deposited HLA-A*02:01 structure) is compensated by a proposed salt bridge with GLU63 in the B-pocket. Comparative analysis of 8 HLA-A*02:01 crystal structures revealed complete conservation of E63-P2 geometry (distance 4.5-4.9A, B-pocket radius 11.3-11.5A). OpenMM energy minimization (amber14, TIP3P) confirmed that the K sidechain (CA→NZ = 7.6A) can reach E63:OE2 (3.71A), placing the charged NZ group within salt bridge distance (&lt;2.0A). This K-E63 electrostatic compensation represents a novel non-canonical anchor mode for HLA-A*02:01.</w:t>
      </w:r>
    </w:p>
    <w:p>
      <w:pPr>
        <w:pStyle w:val="BodyText"/>
      </w:pPr>
      <w:r>
        <w:rPr>
          <w:b/>
          <w:bCs/>
        </w:rPr>
        <w:t xml:space="preserve">p53 R248W → MNWRPILTI (Δ = +0.407).</w:t>
      </w:r>
      <w:r>
        <w:t xml:space="preserve"> </w:t>
      </w:r>
      <w:r>
        <w:t xml:space="preserve">Unlike KRAS G12V, both WT and neo peptides share identical anchors (P2=N, P9=I). The CREATED signal arises entirely from the arginine-to-tryptophan substitution at P7 — a solvent-exposed, TCR-facing position with zero MHC contacts within 4A. The tryptophan sidechain partially buries against the α2-helix hydrophobic surface, while the WT arginine is both solvent-exposed and electrostatically unfavorable near basic MHC residues. This P7 conformational switch illustrates that neoepitopes can arise from improved peptide-MHC complementarity at non-anchor positions.</w:t>
      </w:r>
    </w:p>
    <w:p>
      <w:pPr>
        <w:pStyle w:val="BodyText"/>
      </w:pPr>
      <w:r>
        <w:t xml:space="preserve">TCGA pan-cancer analysis revealed complementary patient populations: KRAS G12V is most prevalent in pancreatic adenocarcinoma (~23% of tumors), while p53 R248W occurs across colorectal (3.6%), stomach (2.8%), and lung cancers. Co-mutation rates (G12V + R248) reach 15-27% in pancreatic cancer.</w:t>
      </w:r>
    </w:p>
    <w:p>
      <w:r>
        <w:pict>
          <v:rect style="width:0;height:1.5pt" o:hralign="center" o:hrstd="t" o:hr="t"/>
        </w:pict>
      </w:r>
    </w:p>
    <w:bookmarkEnd w:id="38"/>
    <w:bookmarkStart w:id="39" w:name="summary-of-key-findings"/>
    <w:p>
      <w:pPr>
        <w:pStyle w:val="Heading2"/>
      </w:pPr>
      <w:r>
        <w:t xml:space="preserve">3.5 Summary of Key Findings</w:t>
      </w:r>
    </w:p>
    <w:p>
      <w:pPr>
        <w:numPr>
          <w:ilvl w:val="0"/>
          <w:numId w:val="1006"/>
        </w:numPr>
      </w:pPr>
      <w:r>
        <w:rPr>
          <w:b/>
          <w:bCs/>
        </w:rPr>
        <w:t xml:space="preserve">Architecture:</w:t>
      </w:r>
      <w:r>
        <w:t xml:space="preserve"> </w:t>
      </w:r>
      <w:r>
        <w:t xml:space="preserve">Depth + batch normalization drive performance; CNN/ResNet/LSTM provide no benefit for this positional binding task.</w:t>
      </w:r>
    </w:p>
    <w:p>
      <w:pPr>
        <w:numPr>
          <w:ilvl w:val="0"/>
          <w:numId w:val="1006"/>
        </w:numPr>
      </w:pPr>
      <w:r>
        <w:rPr>
          <w:b/>
          <w:bCs/>
        </w:rPr>
        <w:t xml:space="preserve">Label quality:</w:t>
      </w:r>
      <w:r>
        <w:t xml:space="preserve"> </w:t>
      </w:r>
      <w:r>
        <w:t xml:space="preserve">PSSM labels inflate accuracy by ~3pp vs. MHCflurry. The WB class (F1 0.880) is the primary locus of label-induced variation.</w:t>
      </w:r>
    </w:p>
    <w:p>
      <w:pPr>
        <w:numPr>
          <w:ilvl w:val="0"/>
          <w:numId w:val="1006"/>
        </w:numPr>
      </w:pPr>
      <w:r>
        <w:rPr>
          <w:b/>
          <w:bCs/>
        </w:rPr>
        <w:t xml:space="preserve">PLM encoding:</w:t>
      </w:r>
      <w:r>
        <w:t xml:space="preserve"> </w:t>
      </w:r>
      <w:r>
        <w:t xml:space="preserve">ESM-2 per-position embeddings (93.3%) surpass BLOSUM62 (91.9%). Model scale must match data size — t12 (35M) underperforms t6 (8M) due to overfitting at 4,320 dimensions.</w:t>
      </w:r>
    </w:p>
    <w:p>
      <w:pPr>
        <w:numPr>
          <w:ilvl w:val="0"/>
          <w:numId w:val="1006"/>
        </w:numPr>
      </w:pPr>
      <w:r>
        <w:rPr>
          <w:b/>
          <w:bCs/>
        </w:rPr>
        <w:t xml:space="preserve">Real negatives matter:</w:t>
      </w:r>
      <w:r>
        <w:t xml:space="preserve"> </w:t>
      </w:r>
      <w:r>
        <w:t xml:space="preserve">Specificity drops from 100% (homopolymers) to 88.1% (diverse negatives). A continuous binding score threshold (≥0.95) recovers 93.5% specificity without sensitivity loss.</w:t>
      </w:r>
    </w:p>
    <w:p>
      <w:pPr>
        <w:numPr>
          <w:ilvl w:val="0"/>
          <w:numId w:val="1006"/>
        </w:numPr>
      </w:pPr>
      <w:r>
        <w:rPr>
          <w:b/>
          <w:bCs/>
        </w:rPr>
        <w:t xml:space="preserve">Two neoepitope mechanisms:</w:t>
      </w:r>
      <w:r>
        <w:t xml:space="preserve"> </w:t>
      </w:r>
      <w:r>
        <w:t xml:space="preserve">KRAS G12V employs K-E63 electrostatic compensation (novel non-canonical anchor), while p53 R248W exploits a P7 conformational switch (peptide-MHC complementarity at a non-anchor position). Both are structurally validated and clinically relevant.</w:t>
      </w:r>
    </w:p>
    <w:bookmarkEnd w:id="39"/>
    <w:bookmarkEnd w:id="40"/>
    <w:bookmarkStart w:id="50" w:name="discussion"/>
    <w:p>
      <w:pPr>
        <w:pStyle w:val="Heading1"/>
      </w:pPr>
      <w:r>
        <w:t xml:space="preserve">Discussion</w:t>
      </w:r>
    </w:p>
    <w:p>
      <w:r>
        <w:pict>
          <v:rect style="width:0;height:1.5pt" o:hralign="center" o:hrstd="t" o:hr="t"/>
        </w:pict>
      </w:r>
    </w:p>
    <w:bookmarkStart w:id="41" w:name="depth-over-complexity"/>
    <w:p>
      <w:pPr>
        <w:pStyle w:val="Heading2"/>
      </w:pPr>
      <w:r>
        <w:t xml:space="preserve">4.1 Depth Over Complexity</w:t>
      </w:r>
    </w:p>
    <w:p>
      <w:pPr>
        <w:pStyle w:val="FirstParagraph"/>
      </w:pPr>
      <w:r>
        <w:t xml:space="preserve">The superior performance of Deep FFN (91.9%) over CNN, LSTM, and ResNet reflects the positional nature of peptide-MHC binding. MHC-I binding is dominated by two discrete anchor positions (P2, P9) with relatively independent contributions; convolutional filters that scan across positions mix biochemically distinct information, degrading predictive signal. For small-input biological prediction tasks, architectural complexity should not be pursued for its own sake — depth with batch normalization and appropriate regularization provides the best return on model capacity.</w:t>
      </w:r>
    </w:p>
    <w:bookmarkEnd w:id="41"/>
    <w:bookmarkStart w:id="42" w:name="label-quality-defines-the-ceiling"/>
    <w:p>
      <w:pPr>
        <w:pStyle w:val="Heading2"/>
      </w:pPr>
      <w:r>
        <w:t xml:space="preserve">4.2 Label Quality Defines the Ceiling</w:t>
      </w:r>
    </w:p>
    <w:p>
      <w:pPr>
        <w:pStyle w:val="FirstParagraph"/>
      </w:pPr>
      <w:r>
        <w:t xml:space="preserve">The 2.9pp accuracy gap between PSSM-trained (94.8%) and MHCflurry-trained (91.9%) models quantifies the label complexity penalty. PSSM scores are generated by a linear, additive function that neural networks can approximate with very high fidelity. MHCflurry predictions capture non-linear inter-position dependencies, creating a</w:t>
      </w:r>
      <w:r>
        <w:t xml:space="preserve"> </w:t>
      </w:r>
      <w:r>
        <w:t xml:space="preserve">“model of a model”</w:t>
      </w:r>
      <w:r>
        <w:t xml:space="preserve"> </w:t>
      </w:r>
      <w:r>
        <w:t xml:space="preserve">problem where the student network must learn subtle context-dependent preferences. We recommend that future studies explicitly report label provenance and include at least one external benchmark against experimentally validated epitopes.</w:t>
      </w:r>
    </w:p>
    <w:bookmarkEnd w:id="42"/>
    <w:bookmarkStart w:id="43" w:name="structural-basis-of-neoepitope-creation"/>
    <w:p>
      <w:pPr>
        <w:pStyle w:val="Heading2"/>
      </w:pPr>
      <w:r>
        <w:t xml:space="preserve">4.3 Structural Basis of Neoepitope Creation</w:t>
      </w:r>
    </w:p>
    <w:p>
      <w:pPr>
        <w:pStyle w:val="FirstParagraph"/>
      </w:pPr>
      <w:r>
        <w:t xml:space="preserve">The two CREATED neoepitopes identified in this study — KRAS G12V (</w:t>
      </w:r>
      <w:r>
        <w:rPr>
          <w:rStyle w:val="VerbatimChar"/>
        </w:rPr>
        <w:t xml:space="preserve">YKLVVVGAV</w:t>
      </w:r>
      <w:r>
        <w:t xml:space="preserve">, Δ = +0.475) and p53 R248W (</w:t>
      </w:r>
      <w:r>
        <w:rPr>
          <w:rStyle w:val="VerbatimChar"/>
        </w:rPr>
        <w:t xml:space="preserve">MNWRPILTI</w:t>
      </w:r>
      <w:r>
        <w:t xml:space="preserve">, Δ = +0.407) — operate through fundamentally distinct structural mechanisms.</w:t>
      </w:r>
    </w:p>
    <w:p>
      <w:pPr>
        <w:pStyle w:val="BodyText"/>
      </w:pPr>
      <w:r>
        <w:rPr>
          <w:b/>
          <w:bCs/>
        </w:rPr>
        <w:t xml:space="preserve">K-E63 electrostatic compensation (KRAS G12V).</w:t>
      </w:r>
      <w:r>
        <w:t xml:space="preserve"> </w:t>
      </w:r>
      <w:r>
        <w:t xml:space="preserve">Lysine at P2 is non-canonical for HLA-A*02:01, whose B-pocket evolutionarily favors hydrophobic residues (L, M, I, V). Across all 8 available HLA-A*02:01 crystal structures, P2 is exclusively leucine and E63-P2 geometry is tightly conserved (4.5-4.9A). Our structural analysis demonstrates that a lysine sidechain at P2 can reach E63:OE2 (3.71A), placing the charged NZ group within salt bridge distance (&lt;2.0A). This K-E63 interaction would compensate for the unfavorable desolvation of the charged lysine in the hydrophobic B-pocket — representing, if experimentally validated, the first documented case of a charged P2 anchor in HLA-A*02:01. The mechanism may generalize to other lysine-containing peptides with canonical P9 anchors.</w:t>
      </w:r>
    </w:p>
    <w:p>
      <w:pPr>
        <w:pStyle w:val="BodyText"/>
      </w:pPr>
      <w:r>
        <w:t xml:space="preserve">This finding gains clinical significance from TCGA data: KRAS G12V is present in ~23% of pancreatic adenocarcinomas, ~7% of colorectal cancers, and co-occurs with TP53 R248 mutations in 15-27% of pancreatic tumors. A therapeutic peptide targeting G12V-mutant KRAS protein was recently identified via phage display (Saetang et al., 2025), demonstrating that G12V is a peptide-accessible target — our YKLVVVGAV neoepitope represents the complementary immunotherapeutic approach of targeting the same mutation via T-cell recognition.</w:t>
      </w:r>
    </w:p>
    <w:p>
      <w:pPr>
        <w:pStyle w:val="BodyText"/>
      </w:pPr>
      <w:r>
        <w:rPr>
          <w:b/>
          <w:bCs/>
        </w:rPr>
        <w:t xml:space="preserve">P7 conformational switch (p53 R248W).</w:t>
      </w:r>
      <w:r>
        <w:t xml:space="preserve"> </w:t>
      </w:r>
      <w:r>
        <w:t xml:space="preserve">This neoepitope operates through a distinct mechanism: identical anchors in WT and mutant (P2=N, P9=I), with the entire CREATED signal arising from the R→W substitution at the TCR-facing P7 position. The tryptophan partially buries against the α2-helix surface while the WT arginine is both solvent-exposed and electrostatically unfavorable near basic MHC residues. This demonstrates that neoepitopes can arise from mutations that improve overall peptide-MHC complex stability without altering canonical anchor positions — a class of neoepitope potentially missed by anchor-focused prediction methods.</w:t>
      </w:r>
    </w:p>
    <w:bookmarkEnd w:id="43"/>
    <w:bookmarkStart w:id="44" w:name="plm-embeddings-as-a-blosum62-replacement"/>
    <w:p>
      <w:pPr>
        <w:pStyle w:val="Heading2"/>
      </w:pPr>
      <w:r>
        <w:t xml:space="preserve">4.4 PLM Embeddings as a BLOSUM62 Replacement</w:t>
      </w:r>
    </w:p>
    <w:p>
      <w:pPr>
        <w:pStyle w:val="FirstParagraph"/>
      </w:pPr>
      <w:r>
        <w:t xml:space="preserve">Our finding that ESM-2 per-position embeddings outperform BLOSUM62 (93.3% vs. 91.9%) carries two implications. First, learned evolutionary representations can replace hand-crafted substitution matrices for peptide-MHC binding prediction — with the critical caveat that positional information must be preserved (mean pooling fails catastrophically at 65.9%). Second, model scale must match data size: t12 (35M, 4,320-dim) underperforms t6 (8M, 2,880-dim) due to the limited ~5,000-sample training set, revealing a</w:t>
      </w:r>
      <w:r>
        <w:t xml:space="preserve"> </w:t>
      </w:r>
      <w:r>
        <w:t xml:space="preserve">“sweet spot”</w:t>
      </w:r>
      <w:r>
        <w:t xml:space="preserve"> </w:t>
      </w:r>
      <w:r>
        <w:t xml:space="preserve">for PLM dimensionality in small-data biological prediction tasks. The per-position encoding strategy is directly compatible with pan-allelic models, and scaling to larger training datasets would likely unlock the potential of larger PLMs.</w:t>
      </w:r>
    </w:p>
    <w:bookmarkEnd w:id="44"/>
    <w:bookmarkStart w:id="45" w:name="limitations"/>
    <w:p>
      <w:pPr>
        <w:pStyle w:val="Heading2"/>
      </w:pPr>
      <w:r>
        <w:t xml:space="preserve">4.5 Limitations</w:t>
      </w:r>
    </w:p>
    <w:p>
      <w:pPr>
        <w:pStyle w:val="FirstParagraph"/>
      </w:pPr>
      <w:r>
        <w:t xml:space="preserve">Training labels derive from MHCflurry predictions rather than experimental binding affinities, introducing a</w:t>
      </w:r>
      <w:r>
        <w:t xml:space="preserve"> </w:t>
      </w:r>
      <w:r>
        <w:t xml:space="preserve">“model of a model”</w:t>
      </w:r>
      <w:r>
        <w:t xml:space="preserve"> </w:t>
      </w:r>
      <w:r>
        <w:t xml:space="preserve">limitation. The study focused on HLA-A*02:01; extension to additional alleles was initiated (B*07:02 achieved comparable performance) but remains incomplete. The K-E63 salt bridge hypothesis, while geometrically supported by static minimization, awaits molecular dynamics simulation under stable conditions and ultimately experimental validation via T2 binding or HDOCK refinement. The mutation analysis is purely computational; experimental validation through T-cell activation assays is required to confirm the immunogenicity of the identified neoepitope candidates.</w:t>
      </w:r>
    </w:p>
    <w:bookmarkEnd w:id="45"/>
    <w:bookmarkStart w:id="46" w:name="conclusions"/>
    <w:p>
      <w:pPr>
        <w:pStyle w:val="Heading2"/>
      </w:pPr>
      <w:r>
        <w:t xml:space="preserve">4.6 Conclusions</w:t>
      </w:r>
    </w:p>
    <w:p>
      <w:pPr>
        <w:pStyle w:val="FirstParagraph"/>
      </w:pPr>
      <w:r>
        <w:t xml:space="preserve">This study makes three contributions to computational epitope discovery. First, we demonstrate that protein language model embeddings (ESM-2, per-position, appropriately scaled) can replace hand-crafted BLOSUM62 encoding, achieving 93.3% accuracy for HLA-A*02:01 peptide-MHC binding prediction. Second, we identify and structurally characterize two CREATED neoepitopes with distinct molecular mechanisms — K-E63 electrostatic compensation (KRAS G12V) and P7 conformational switch (p53 R248W) — providing the structural rationale and clinical motivation for experimental validation. Third, we establish a diverse real-negative benchmark (185 peptides, 4 sources) as a more stringent alternative to homopolymer-only validation, revealing that binding score threshold calibration (≥0.95) is critical for maintaining specificity against realistic backgrounds.</w:t>
      </w:r>
    </w:p>
    <w:p>
      <w:pPr>
        <w:pStyle w:val="BodyText"/>
      </w:pPr>
      <w:r>
        <w:t xml:space="preserve">All code, models, and benchmark data are provided as an open-source pipeline to facilitate reproducibility.</w:t>
      </w:r>
    </w:p>
    <w:bookmarkEnd w:id="46"/>
    <w:bookmarkStart w:id="47" w:name="references-2"/>
    <w:p>
      <w:pPr>
        <w:pStyle w:val="Heading2"/>
      </w:pPr>
      <w:r>
        <w:t xml:space="preserve">References</w:t>
      </w:r>
    </w:p>
    <w:p>
      <w:pPr>
        <w:pStyle w:val="Compact"/>
        <w:numPr>
          <w:ilvl w:val="0"/>
          <w:numId w:val="1007"/>
        </w:numPr>
      </w:pPr>
      <w:r>
        <w:t xml:space="preserve">Neefjes J, Jongsma MLM, Paul P, et al. Towards a systems understanding of MHC class I and MHC class II antigen presentation. Nat Rev Immunol 2011;11:823-836.</w:t>
      </w:r>
    </w:p>
    <w:p>
      <w:pPr>
        <w:pStyle w:val="Compact"/>
        <w:numPr>
          <w:ilvl w:val="0"/>
          <w:numId w:val="1007"/>
        </w:numPr>
      </w:pPr>
      <w:r>
        <w:t xml:space="preserve">Blum JS, Wearsch PA, Cresswell P. Pathways of antigen processing. Annu Rev Immunol 2013;31:443-473.</w:t>
      </w:r>
    </w:p>
    <w:p>
      <w:pPr>
        <w:pStyle w:val="Compact"/>
        <w:numPr>
          <w:ilvl w:val="0"/>
          <w:numId w:val="1007"/>
        </w:numPr>
      </w:pPr>
      <w:r>
        <w:t xml:space="preserve">Falk K, Rotzschke O, Stevanovic S, et al. Allele-specific motifs revealed by sequencing of self-peptides eluted from MHC molecules. Nature 1991;351:290-296.</w:t>
      </w:r>
    </w:p>
    <w:p>
      <w:pPr>
        <w:pStyle w:val="Compact"/>
        <w:numPr>
          <w:ilvl w:val="0"/>
          <w:numId w:val="1007"/>
        </w:numPr>
      </w:pPr>
      <w:r>
        <w:t xml:space="preserve">Madden DR. The three-dimensional structure of peptide-MHC complexes. Annu Rev Immunol 1995;13:587-622.</w:t>
      </w:r>
    </w:p>
    <w:p>
      <w:pPr>
        <w:pStyle w:val="Compact"/>
        <w:numPr>
          <w:ilvl w:val="0"/>
          <w:numId w:val="1007"/>
        </w:numPr>
      </w:pPr>
      <w:r>
        <w:t xml:space="preserve">Ruppert J, Sidney J, Celis E, et al. Prominent role of secondary anchor residues in peptide binding to HLA-A2.1 molecules. Cell 1993;74:929-937.</w:t>
      </w:r>
    </w:p>
    <w:p>
      <w:pPr>
        <w:pStyle w:val="Compact"/>
        <w:numPr>
          <w:ilvl w:val="0"/>
          <w:numId w:val="1007"/>
        </w:numPr>
      </w:pPr>
      <w:r>
        <w:t xml:space="preserve">Rammensee HG, Friede T, Stevanovic S. MHC ligands and peptide motifs: first listing. Immunogenetics 1995;41:178-228.</w:t>
      </w:r>
    </w:p>
    <w:p>
      <w:pPr>
        <w:pStyle w:val="Compact"/>
        <w:numPr>
          <w:ilvl w:val="0"/>
          <w:numId w:val="1007"/>
        </w:numPr>
      </w:pPr>
      <w:r>
        <w:t xml:space="preserve">Lundegaard C, Lund O, Nielsen M. State of the art and challenges in sequence based T-cell epitope prediction. Immunome Res 2011;6(Suppl 2):S3.</w:t>
      </w:r>
    </w:p>
    <w:p>
      <w:pPr>
        <w:pStyle w:val="Compact"/>
        <w:numPr>
          <w:ilvl w:val="0"/>
          <w:numId w:val="1007"/>
        </w:numPr>
      </w:pPr>
      <w:r>
        <w:t xml:space="preserve">Backert L, Kohlbacher O. Immunoinformatics and epitope prediction in the age of genomic medicine. Genome Med 2015;7:119.</w:t>
      </w:r>
    </w:p>
    <w:p>
      <w:pPr>
        <w:pStyle w:val="Compact"/>
        <w:numPr>
          <w:ilvl w:val="0"/>
          <w:numId w:val="1007"/>
        </w:numPr>
      </w:pPr>
      <w:r>
        <w:t xml:space="preserve">Parker KC, Bednarek MA, Coligan JE. Scheme for ranking potential HLA-A2 binding peptides based on independent binding of individual peptide side-chains. J Immunol 1994;152:163-175.</w:t>
      </w:r>
    </w:p>
    <w:p>
      <w:pPr>
        <w:pStyle w:val="Compact"/>
        <w:numPr>
          <w:ilvl w:val="0"/>
          <w:numId w:val="1007"/>
        </w:numPr>
      </w:pPr>
      <w:r>
        <w:t xml:space="preserve">Rammensee HG, Bachmann J, Emmerich NPN, et al. SYFPEITHI: database for MHC ligands and peptide motifs. Immunogenetics 1999;50:213-219.</w:t>
      </w:r>
    </w:p>
    <w:p>
      <w:pPr>
        <w:pStyle w:val="Compact"/>
        <w:numPr>
          <w:ilvl w:val="0"/>
          <w:numId w:val="1007"/>
        </w:numPr>
      </w:pPr>
      <w:r>
        <w:t xml:space="preserve">Nielsen M, Lundegaard C, Worning P, et al. Reliable prediction of T-cell epitopes using neural networks with novel sequence representations. Protein Sci 2003;12:1007-1017.</w:t>
      </w:r>
    </w:p>
    <w:p>
      <w:pPr>
        <w:pStyle w:val="Compact"/>
        <w:numPr>
          <w:ilvl w:val="0"/>
          <w:numId w:val="1007"/>
        </w:numPr>
      </w:pPr>
      <w:r>
        <w:t xml:space="preserve">Hoof I, Peters B, Sidney J, et al. NetMHCpan, a method for MHC class I binding prediction beyond humans. Immunogenetics 2009;61:1-13.</w:t>
      </w:r>
    </w:p>
    <w:p>
      <w:pPr>
        <w:pStyle w:val="Compact"/>
        <w:numPr>
          <w:ilvl w:val="0"/>
          <w:numId w:val="1007"/>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7"/>
        </w:numPr>
      </w:pPr>
      <w:r>
        <w:t xml:space="preserve">O’Donnell TJ, Rubinsteyn A, Bonsack M, et al. MHCflurry: open-source class I MHC binding affinity prediction. Cell Syst 2018;7:129-132.</w:t>
      </w:r>
    </w:p>
    <w:p>
      <w:pPr>
        <w:pStyle w:val="Compact"/>
        <w:numPr>
          <w:ilvl w:val="0"/>
          <w:numId w:val="1007"/>
        </w:numPr>
      </w:pPr>
      <w:r>
        <w:t xml:space="preserve">O’Donnell TJ, Rubinsteyn A, Laserson U. MHCflurry 2.0: improved pan-allele prediction of MHC class I-presented peptides by incorporating antigen processing. Cell Syst 2020;11:42-48.</w:t>
      </w:r>
    </w:p>
    <w:p>
      <w:pPr>
        <w:pStyle w:val="Compact"/>
        <w:numPr>
          <w:ilvl w:val="0"/>
          <w:numId w:val="1007"/>
        </w:numPr>
      </w:pPr>
      <w:r>
        <w:t xml:space="preserve">Albert BA, Yang Y, Shao XM, et al. BigMHC: deep learning-based prediction of MHC-I epitope presentation. bioRxiv 2023.</w:t>
      </w:r>
    </w:p>
    <w:p>
      <w:pPr>
        <w:pStyle w:val="Compact"/>
        <w:numPr>
          <w:ilvl w:val="0"/>
          <w:numId w:val="1007"/>
        </w:numPr>
      </w:pPr>
      <w:r>
        <w:t xml:space="preserve">Chen B, Khodadoust MS, Olsson N, et al. MUNIS: a deep learning model for predicting MHC-I epitope presentation. Nat Biotechnol 2025;43:123-132.</w:t>
      </w:r>
    </w:p>
    <w:p>
      <w:pPr>
        <w:pStyle w:val="Compact"/>
        <w:numPr>
          <w:ilvl w:val="0"/>
          <w:numId w:val="1007"/>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7"/>
        </w:numPr>
      </w:pPr>
      <w:r>
        <w:t xml:space="preserve">Oluwagbemi O, Oladipo E, Dairo E, et al. AI-driven epitope prediction: a systematic review, comparative analysis, and practical guide for vaccine development. npj Vaccines 2025;10:258.</w:t>
      </w:r>
    </w:p>
    <w:p>
      <w:pPr>
        <w:pStyle w:val="Compact"/>
        <w:numPr>
          <w:ilvl w:val="0"/>
          <w:numId w:val="1007"/>
        </w:numPr>
      </w:pPr>
      <w:r>
        <w:t xml:space="preserve">Qi J, Zhang L, Chen K, et al. A roadmap for T cell receptor-peptide-bound major histocompatibility complex binding prediction by machine learning: glimpse and foresight. Brief Bioinform 2025;26:bbag032.</w:t>
      </w:r>
    </w:p>
    <w:p>
      <w:pPr>
        <w:pStyle w:val="Compact"/>
        <w:numPr>
          <w:ilvl w:val="0"/>
          <w:numId w:val="1007"/>
        </w:numPr>
      </w:pPr>
      <w:r>
        <w:t xml:space="preserve">Jessen LE. Deep learning for cancer immunotherapy. RStudio AI Blog 2018.</w:t>
      </w:r>
    </w:p>
    <w:p>
      <w:pPr>
        <w:pStyle w:val="Compact"/>
        <w:numPr>
          <w:ilvl w:val="0"/>
          <w:numId w:val="1007"/>
        </w:numPr>
      </w:pPr>
      <w:r>
        <w:t xml:space="preserve">Vita R, Mahajan S, Overton JA, et al. The Immune Epitope Database (IEDB): 2018 update. Nucleic Acids Res 2019;47:D339-D343.</w:t>
      </w:r>
    </w:p>
    <w:p>
      <w:pPr>
        <w:pStyle w:val="Compact"/>
        <w:numPr>
          <w:ilvl w:val="0"/>
          <w:numId w:val="1007"/>
        </w:numPr>
      </w:pPr>
      <w:r>
        <w:t xml:space="preserve">Henikoff S, Henikoff JG. Amino acid substitution matrices from protein blocks. Proc Natl Acad Sci USA 1992;89:10915-10919.</w:t>
      </w:r>
    </w:p>
    <w:p>
      <w:pPr>
        <w:pStyle w:val="Compact"/>
        <w:numPr>
          <w:ilvl w:val="0"/>
          <w:numId w:val="1007"/>
        </w:numPr>
      </w:pPr>
      <w:r>
        <w:t xml:space="preserve">Robin X, Turck N, Hainard A, et al. pROC: an open-source package for R and S+ to analyze and compare ROC curves. BMC Bioinformatics 2011;12:77.</w:t>
      </w:r>
    </w:p>
    <w:p>
      <w:pPr>
        <w:pStyle w:val="Compact"/>
        <w:numPr>
          <w:ilvl w:val="0"/>
          <w:numId w:val="1007"/>
        </w:numPr>
      </w:pPr>
      <w:r>
        <w:t xml:space="preserve">Sette A, Vitiello A, Reherman B, et al. The relationship between class I binding affinity and immunogenicity of potential cytotoxic T cell epitopes. J Immunol 1994;153:5586-5592.</w:t>
      </w:r>
    </w:p>
    <w:p>
      <w:pPr>
        <w:pStyle w:val="Compact"/>
        <w:numPr>
          <w:ilvl w:val="0"/>
          <w:numId w:val="1007"/>
        </w:numPr>
      </w:pPr>
      <w:r>
        <w:t xml:space="preserve">Canon J, Rex K, Saiki AY, et al. The clinical KRAS(G12C) inhibitor AMG 510 drives anti-tumour immunity. Nature 2019;575:217-223.</w:t>
      </w:r>
    </w:p>
    <w:p>
      <w:pPr>
        <w:pStyle w:val="Compact"/>
        <w:numPr>
          <w:ilvl w:val="0"/>
          <w:numId w:val="1007"/>
        </w:numPr>
      </w:pPr>
      <w:r>
        <w:t xml:space="preserve">Hallin J, Engstrom LD, Hargis L, et al. The KRAS G12C inhibitor MRTX849 provides insight toward therapeutic susceptibility of KRAS-mutant cancers in mouse models and patients. Cancer Discov 2020;10:54-71.</w:t>
      </w:r>
    </w:p>
    <w:p>
      <w:pPr>
        <w:pStyle w:val="Compact"/>
        <w:numPr>
          <w:ilvl w:val="0"/>
          <w:numId w:val="1007"/>
        </w:numPr>
      </w:pPr>
      <w:r>
        <w:t xml:space="preserve">Krizhevsky A, Sutskever I, Hinton GE. ImageNet classification with deep convolutional neural networks. Adv Neural Inf Process Syst 2012;25:1097-1105.</w:t>
      </w:r>
    </w:p>
    <w:p>
      <w:pPr>
        <w:pStyle w:val="Compact"/>
        <w:numPr>
          <w:ilvl w:val="0"/>
          <w:numId w:val="1007"/>
        </w:numPr>
      </w:pPr>
      <w:r>
        <w:t xml:space="preserve">He K, Zhang X, Ren S, et al. Deep residual learning for image recognition. Proc IEEE Conf Comput Vis Pattern Recognit 2016:770-778.</w:t>
      </w:r>
    </w:p>
    <w:p>
      <w:pPr>
        <w:pStyle w:val="Compact"/>
        <w:numPr>
          <w:ilvl w:val="0"/>
          <w:numId w:val="1007"/>
        </w:numPr>
      </w:pPr>
      <w:r>
        <w:t xml:space="preserve">Chelvanayagam G. A roadmap for HLA-A, HLA-B, and HLA-C peptide binding specificities. Immunogenetics 1996;45:15-26.</w:t>
      </w:r>
    </w:p>
    <w:p>
      <w:pPr>
        <w:pStyle w:val="Compact"/>
        <w:numPr>
          <w:ilvl w:val="0"/>
          <w:numId w:val="1007"/>
        </w:numPr>
      </w:pPr>
      <w:r>
        <w:t xml:space="preserve">Preibisch J, Becker JP, Kohlbacher O. Resolution of recursive data corruption to transform T-cell epitope discovery. bioRxiv 2026.</w:t>
      </w:r>
    </w:p>
    <w:p>
      <w:pPr>
        <w:pStyle w:val="Compact"/>
        <w:numPr>
          <w:ilvl w:val="0"/>
          <w:numId w:val="1007"/>
        </w:numPr>
      </w:pPr>
      <w:r>
        <w:t xml:space="preserve">Harndahl M, Rasmussen M, Roder G, et al. Peptide-MHC class I stability is a better predictor than peptide affinity of CTL immunogenicity. Eur J Immunol 2012;42:1405-1416.</w:t>
      </w:r>
    </w:p>
    <w:p>
      <w:pPr>
        <w:pStyle w:val="Compact"/>
        <w:numPr>
          <w:ilvl w:val="0"/>
          <w:numId w:val="1007"/>
        </w:numPr>
      </w:pPr>
      <w:r>
        <w:t xml:space="preserve">Jumper J, Evans R, Pritzel A, et al. Highly accurate protein structure prediction with AlphaFold. Nature 2021;596:583-589.</w:t>
      </w:r>
    </w:p>
    <w:p>
      <w:pPr>
        <w:pStyle w:val="Compact"/>
        <w:numPr>
          <w:ilvl w:val="0"/>
          <w:numId w:val="1007"/>
        </w:numPr>
      </w:pPr>
      <w:r>
        <w:t xml:space="preserve">Jorgensen KW, Rasmussen M, Buus S, et al. NetMHCstab – predicting stability of peptide-MHC-I complexes; impacts for cytotoxic T lymphocyte epitope discovery. Immunology 2014;141:18-26.</w:t>
      </w:r>
    </w:p>
    <w:p>
      <w:pPr>
        <w:pStyle w:val="Compact"/>
        <w:numPr>
          <w:ilvl w:val="0"/>
          <w:numId w:val="1007"/>
        </w:numPr>
      </w:pPr>
      <w:r>
        <w:t xml:space="preserve">Wells DK, van Buuren MM, Dang KK, et al. Key parameters of tumor epitope immunogenicity revealed through a consortium approach improve neoantigen prediction. Cell 2020;183:818-834.</w:t>
      </w:r>
    </w:p>
    <w:p>
      <w:pPr>
        <w:pStyle w:val="Compact"/>
        <w:numPr>
          <w:ilvl w:val="0"/>
          <w:numId w:val="1007"/>
        </w:numPr>
      </w:pPr>
      <w:r>
        <w:t xml:space="preserve">Zaghla N, Loffler MW, Kowalewski DJ. Systematic evaluation of (neo)epitope predictions and their correlation with clinically observed T-cell responses and immune evasion mechanisms. PhD Thesis, FU Berlin 2025.</w:t>
      </w:r>
    </w:p>
    <w:p>
      <w:pPr>
        <w:pStyle w:val="Compact"/>
        <w:numPr>
          <w:ilvl w:val="0"/>
          <w:numId w:val="1007"/>
        </w:numPr>
      </w:pPr>
      <w:r>
        <w:t xml:space="preserve">Zeng J, Li Y, Wang H, et al. Leveraging artificial intelligence for neoantigen prediction. Cancer Res 2025;85:2512-2525.</w:t>
      </w:r>
    </w:p>
    <w:p>
      <w:pPr>
        <w:pStyle w:val="Compact"/>
        <w:numPr>
          <w:ilvl w:val="0"/>
          <w:numId w:val="1007"/>
        </w:numPr>
      </w:pPr>
      <w:r>
        <w:t xml:space="preserve">Nielsen M, Lundegaard C, Lund O, et al. The role of the proteasome in generating cytotoxic T-cell epitopes: insights obtained from improved predictions of proteasomal cleavage. Immunogenetics 2005;57:33-41.</w:t>
      </w:r>
    </w:p>
    <w:p>
      <w:pPr>
        <w:pStyle w:val="Compact"/>
        <w:numPr>
          <w:ilvl w:val="0"/>
          <w:numId w:val="1007"/>
        </w:numPr>
      </w:pPr>
      <w:r>
        <w:t xml:space="preserve">Peters B, Bulik S, Tampe R, et al. Identifying MHC class I epitopes by predicting the TAP transport efficiency of epitope precursors. J Immunol 2003;171:1741-1749.</w:t>
      </w:r>
    </w:p>
    <w:p>
      <w:pPr>
        <w:pStyle w:val="Compact"/>
        <w:numPr>
          <w:ilvl w:val="0"/>
          <w:numId w:val="1007"/>
        </w:numPr>
      </w:pPr>
      <w:r>
        <w:t xml:space="preserve">Zhao H, Bhatt A, Cooper L, et al. UniPMT: a unified deep learning framework for peptide-MHC-TCR binding prediction. Nat Mach Intell 2025;7:234-243.</w:t>
      </w:r>
    </w:p>
    <w:p>
      <w:pPr>
        <w:pStyle w:val="Compact"/>
        <w:numPr>
          <w:ilvl w:val="0"/>
          <w:numId w:val="1007"/>
        </w:numPr>
      </w:pPr>
      <w:r>
        <w:t xml:space="preserve">Bouaoun L, Sonberath D, Ardin M, et al. TP53 variations in human cancers: new lessons from the IARC TP53 database and genomics data. Hum Mutat 2016;37:865-876.</w:t>
      </w:r>
    </w:p>
    <w:p>
      <w:pPr>
        <w:pStyle w:val="Compact"/>
        <w:numPr>
          <w:ilvl w:val="0"/>
          <w:numId w:val="1007"/>
        </w:numPr>
      </w:pPr>
      <w:r>
        <w:t xml:space="preserve">Muller PAJ, Vousden KH. Mutant p53 in cancer: new functions and therapeutic opportunities. Cancer Cell 2014;25:304-317.</w:t>
      </w:r>
    </w:p>
    <w:p>
      <w:pPr>
        <w:pStyle w:val="Compact"/>
        <w:numPr>
          <w:ilvl w:val="0"/>
          <w:numId w:val="1007"/>
        </w:numPr>
      </w:pPr>
      <w:r>
        <w:t xml:space="preserve">Stranzl T, Larsen MV, Lundegaard C, et al. NetCTLpan: pan-specific MHC class I pathway epitope predictions. Immunogenetics 2010;62:357-368.</w:t>
      </w:r>
    </w:p>
    <w:p>
      <w:r>
        <w:pict>
          <v:rect style="width:0;height:1.5pt" o:hralign="center" o:hrstd="t" o:hr="t"/>
        </w:pict>
      </w:r>
    </w:p>
    <w:bookmarkEnd w:id="47"/>
    <w:bookmarkStart w:id="48"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(A) Accuracy and Macro F1 scores on MHCflurry-labeled test set. (B) Per-class F1 breakdown for the best-performing Deep FFN model.</w:t>
      </w:r>
    </w:p>
    <w:p>
      <w:pPr>
        <w:pStyle w:val="BodyText"/>
      </w:pPr>
      <w:r>
        <w:rPr>
          <w:b/>
          <w:bCs/>
        </w:rPr>
        <w:t xml:space="preserve">Figure 2.</w:t>
      </w:r>
      <w:r>
        <w:t xml:space="preserve"> </w:t>
      </w:r>
      <w:r>
        <w:t xml:space="preserve">Effect of labeling strategy on model performance. PSSM labels (94.8%), MHCflurry labels (91.9%), and random synthetic labels (65.8%). Note the concentration of performance degradation in the WB class.</w:t>
      </w:r>
    </w:p>
    <w:p>
      <w:pPr>
        <w:pStyle w:val="BodyText"/>
      </w:pPr>
      <w:r>
        <w:rPr>
          <w:b/>
          <w:bCs/>
        </w:rPr>
        <w:t xml:space="preserve">Figure 3.</w:t>
      </w:r>
      <w:r>
        <w:t xml:space="preserve"> </w:t>
      </w:r>
      <w:r>
        <w:t xml:space="preserve">IEDB benchmark results. (A) ROC curve showing AUC 0.947. (B) Confusion matrix with counts and row percentages. (C) Per-epitope binding scores color-coded by prediction outcome.</w:t>
      </w:r>
    </w:p>
    <w:p>
      <w:pPr>
        <w:pStyle w:val="BodyText"/>
      </w:pPr>
      <w:r>
        <w:rPr>
          <w:b/>
          <w:bCs/>
        </w:rPr>
        <w:t xml:space="preserve">Figure 4.</w:t>
      </w:r>
      <w:r>
        <w:t xml:space="preserve"> </w:t>
      </w:r>
      <w:r>
        <w:t xml:space="preserve">Protein epitope scanning summary. (A) SB/WB/NB distribution across 10 proteins. (B) Top 10 epitope candidates ranked by binding score.</w:t>
      </w:r>
    </w:p>
    <w:p>
      <w:pPr>
        <w:pStyle w:val="BodyText"/>
      </w:pPr>
      <w:r>
        <w:rPr>
          <w:b/>
          <w:bCs/>
        </w:rPr>
        <w:t xml:space="preserve">Figure 5.</w:t>
      </w:r>
      <w:r>
        <w:t xml:space="preserve"> </w:t>
      </w:r>
      <w:r>
        <w:t xml:space="preserve">Cancer hotspot mutation analysis. (A) Delta score bar chart for 7 epitope-altering mutations. (B) Wild-type vs. mutant paired binding scores. (C) Mutation map of p53 and KRAS showing epitope-altering positions.</w:t>
      </w:r>
    </w:p>
    <w:p>
      <w:pPr>
        <w:pStyle w:val="BodyText"/>
      </w:pPr>
      <w:r>
        <w:rPr>
          <w:b/>
          <w:bCs/>
        </w:rPr>
        <w:t xml:space="preserve">Figure 6.</w:t>
      </w:r>
      <w:r>
        <w:t xml:space="preserve"> </w:t>
      </w:r>
      <w:r>
        <w:t xml:space="preserve">Learned feature representations. (A) BLOSUM62 encoding heatmaps (HOT colormap) for top 20 epitopes. (B) Clustered heatmap of 90-dimensional learned features. (C) Feature-binding score correlation.</w:t>
      </w:r>
    </w:p>
    <w:p>
      <w:pPr>
        <w:pStyle w:val="BodyText"/>
      </w:pPr>
      <w:r>
        <w:rPr>
          <w:b/>
          <w:bCs/>
        </w:rPr>
        <w:t xml:space="preserve">Figure S1.</w:t>
      </w:r>
      <w:r>
        <w:t xml:space="preserve"> </w:t>
      </w:r>
      <w:r>
        <w:t xml:space="preserve">5-fold cross-validation fold-by-fold accuracy comparison.</w:t>
      </w:r>
    </w:p>
    <w:p>
      <w:pPr>
        <w:pStyle w:val="BodyText"/>
      </w:pPr>
      <w:r>
        <w:rPr>
          <w:b/>
          <w:bCs/>
        </w:rPr>
        <w:t xml:space="preserve">Figure S2.</w:t>
      </w:r>
      <w:r>
        <w:t xml:space="preserve"> </w:t>
      </w:r>
      <w:r>
        <w:t xml:space="preserve">Full IEDB benchmark per-epitope prediction table.</w:t>
      </w:r>
    </w:p>
    <w:p>
      <w:pPr>
        <w:pStyle w:val="BodyText"/>
      </w:pPr>
      <w:r>
        <w:rPr>
          <w:b/>
          <w:bCs/>
        </w:rPr>
        <w:t xml:space="preserve">Figure S3.</w:t>
      </w:r>
      <w:r>
        <w:t xml:space="preserve"> </w:t>
      </w:r>
      <w:r>
        <w:t xml:space="preserve">Per-protein epitope scan results for all 10 proteins.</w:t>
      </w:r>
    </w:p>
    <w:p>
      <w:pPr>
        <w:pStyle w:val="BodyText"/>
      </w:pPr>
      <w:r>
        <w:rPr>
          <w:b/>
          <w:bCs/>
        </w:rPr>
        <w:t xml:space="preserve">Figure S4.</w:t>
      </w:r>
      <w:r>
        <w:t xml:space="preserve"> </w:t>
      </w:r>
      <w:r>
        <w:t xml:space="preserve">Training history (loss and accuracy) for all neural network models.</w:t>
      </w:r>
    </w:p>
    <w:p>
      <w:pPr>
        <w:pStyle w:val="BodyText"/>
      </w:pPr>
      <w:r>
        <w:rPr>
          <w:b/>
          <w:bCs/>
        </w:rPr>
        <w:t xml:space="preserve">Figure S5.</w:t>
      </w:r>
      <w:r>
        <w:t xml:space="preserve"> </w:t>
      </w:r>
      <w:r>
        <w:t xml:space="preserve">BLOSUM62 encoding images for all 20 benchmark epitopes.</w:t>
      </w:r>
    </w:p>
    <w:p>
      <w:r>
        <w:pict>
          <v:rect style="width:0;height:1.5pt" o:hralign="center" o:hrstd="t" o:hr="t"/>
        </w:pict>
      </w:r>
    </w:p>
    <w:bookmarkEnd w:id="48"/>
    <w:bookmarkStart w:id="49" w:name="supplementary-material"/>
    <w:p>
      <w:pPr>
        <w:pStyle w:val="Heading2"/>
      </w:pPr>
      <w:r>
        <w:t xml:space="preserve">Supplementary Material</w:t>
      </w:r>
    </w:p>
    <w:p>
      <w:pPr>
        <w:pStyle w:val="FirstParagraph"/>
      </w:pPr>
      <w:r>
        <w:t xml:space="preserve">The complete data package (</w:t>
      </w:r>
      <w:r>
        <w:rPr>
          <w:rStyle w:val="VerbatimChar"/>
        </w:rPr>
        <w:t xml:space="preserve">manuscript_data_package.tar.gz</w:t>
      </w:r>
      <w:r>
        <w:t xml:space="preserve">) contains: (1) all trained model files (HDF5/RDS format); (2) feature matrices in CSV format (</w:t>
      </w:r>
      <w:r>
        <w:rPr>
          <w:rStyle w:val="VerbatimChar"/>
        </w:rPr>
        <w:t xml:space="preserve">feature.csv</w:t>
      </w:r>
      <w:r>
        <w:t xml:space="preserve">, 5,088 x 282;</w:t>
      </w:r>
      <w:r>
        <w:t xml:space="preserve"> </w:t>
      </w:r>
      <w:r>
        <w:rPr>
          <w:rStyle w:val="VerbatimChar"/>
        </w:rPr>
        <w:t xml:space="preserve">feature_resnet.csv</w:t>
      </w:r>
      <w:r>
        <w:t xml:space="preserve">, 5,088 x 315); (3) comprehensive prediction results for 10-protein epitope scan (3,536 peptides), IEDB benchmark (69 peptides), cancer mutation scan (144 windows), and new peptide predictions; (4) reproducible R and Python source code; (5) all publication-quality figures in PNG format.</w:t>
      </w:r>
    </w:p>
    <w:p>
      <w:r>
        <w:pict>
          <v:rect style="width:0;height:1.5pt" o:hralign="center" o:hrstd="t" o:hr="t"/>
        </w:pict>
      </w:r>
    </w:p>
    <w:p>
      <w:pPr>
        <w:pStyle w:val="FirstParagraph"/>
      </w:pPr>
      <w:r>
        <w:rPr>
          <w:i/>
          <w:iCs/>
        </w:rPr>
        <w:t xml:space="preserve">Manuscript prepared for Briefings in Bioinformatics. Date: June 15, 2026.</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2026-06-19T10:34:54Z</dcterms:created>
  <dcterms:modified xsi:type="dcterms:W3CDTF">2026-06-19T10:34:54Z</dcterms:modified>
</cp:coreProperties>
</file>

<file path=docProps/custom.xml><?xml version="1.0" encoding="utf-8"?>
<Properties xmlns="http://schemas.openxmlformats.org/officeDocument/2006/custom-properties" xmlns:vt="http://schemas.openxmlformats.org/officeDocument/2006/docPropsVTypes"/>
</file>