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Claimant case summary</w:t>
      </w:r>
    </w:p>
    <w:p>
      <w:pPr>
        <w:pStyle w:val="Heading1"/>
      </w:pPr>
      <w:r>
        <w:t>Prepared for</w:t>
      </w:r>
    </w:p>
    <w:p>
      <w:r>
        <w:t>William Mumford and Leanne Mumford</w:t>
      </w:r>
    </w:p>
    <w:p>
      <w:pPr>
        <w:pStyle w:val="Heading1"/>
      </w:pPr>
      <w:r>
        <w:t>Rental property</w:t>
      </w:r>
    </w:p>
    <w:p>
      <w:r>
        <w:t>Flat 7 Machin Mews, Standfast Road, Henbury, Bristol, BS10 7HJ</w:t>
      </w:r>
    </w:p>
    <w:p>
      <w:pPr>
        <w:pStyle w:val="Heading1"/>
      </w:pPr>
      <w:r>
        <w:t>Procedural position</w:t>
      </w:r>
    </w:p>
    <w:p>
      <w:r>
        <w:t>The corrected Form 3A has been served. The service records have been completed and signed. The draft N5 and revised N119 remain subject to final factual review before issue.</w:t>
      </w:r>
    </w:p>
    <w:p>
      <w:pPr>
        <w:pStyle w:val="Heading1"/>
      </w:pPr>
      <w:r>
        <w:t>Grounds relied on</w:t>
      </w:r>
    </w:p>
    <w:p>
      <w:pPr>
        <w:pStyle w:val="ListBullet"/>
      </w:pPr>
      <w:r>
        <w:t>Ground 14 – alleged nuisance, hygiene concerns, communal-area impact and associated conduct. This is the primary ground.</w:t>
      </w:r>
    </w:p>
    <w:p>
      <w:pPr>
        <w:pStyle w:val="ListBullet"/>
      </w:pPr>
      <w:r>
        <w:t>Ground 13 – property-condition/deterioration evidence, including photographs and relevant maintenance/access records.</w:t>
      </w:r>
    </w:p>
    <w:p>
      <w:pPr>
        <w:pStyle w:val="ListBullet"/>
      </w:pPr>
      <w:r>
        <w:t>Ground 15 is not relied upon.</w:t>
      </w:r>
    </w:p>
    <w:p>
      <w:pPr>
        <w:pStyle w:val="Heading1"/>
      </w:pPr>
      <w:r>
        <w:t>Pet and nuisance framing</w:t>
      </w:r>
    </w:p>
    <w:p>
      <w:r>
        <w:t>The claim does not allege a breach of the management-company pet policy and does not rely on a blanket pet prohibition. It relies on the alleged nuisance and condition evidence.</w:t>
      </w:r>
    </w:p>
    <w:p>
      <w:pPr>
        <w:pStyle w:val="Heading1"/>
      </w:pPr>
      <w:r>
        <w:t>Evidence to include before issue</w:t>
      </w:r>
    </w:p>
    <w:p>
      <w:pPr>
        <w:pStyle w:val="ListBullet"/>
      </w:pPr>
      <w:r>
        <w:t>Completed and signed service evidence.</w:t>
      </w:r>
    </w:p>
    <w:p>
      <w:pPr>
        <w:pStyle w:val="ListBullet"/>
      </w:pPr>
      <w:r>
        <w:t>Property-condition photographs.</w:t>
      </w:r>
    </w:p>
    <w:p>
      <w:pPr>
        <w:pStyle w:val="ListBullet"/>
      </w:pPr>
      <w:r>
        <w:t>Signed management-company witness statement with contemporaneous emails, complaint records, maintenance records and contractor correspondence.</w:t>
      </w:r>
    </w:p>
    <w:p>
      <w:pPr>
        <w:pStyle w:val="ListBullet"/>
      </w:pPr>
      <w:r>
        <w:t>Completed access log and any further dated photographs, emails, messages or attendance records.</w:t>
      </w:r>
    </w:p>
    <w:p>
      <w:pPr>
        <w:pStyle w:val="Heading1"/>
      </w:pPr>
      <w:r>
        <w:t>Defendant circumstances</w:t>
      </w:r>
    </w:p>
    <w:p>
      <w:r>
        <w:t>If any disrepair, harassment, disability, vulnerability, safeguarding or counterclaim issue is raised before filing, the pack should be reviewed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