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Filing status and next steps</w:t>
      </w:r>
    </w:p>
    <w:p>
      <w:pPr>
        <w:pStyle w:val="Heading1"/>
      </w:pPr>
      <w:r>
        <w:t>Current status</w:t>
      </w:r>
    </w:p>
    <w:p>
      <w:r>
        <w:t>The corrected Form 3A has been served and the service records have been completed and signed. The revised N119 reflects the available service, management-company, contractor and photographic evidence.</w:t>
      </w:r>
    </w:p>
    <w:p>
      <w:pPr>
        <w:pStyle w:val="Heading1"/>
      </w:pPr>
      <w:r>
        <w:t>Before issue</w:t>
      </w:r>
    </w:p>
    <w:p>
      <w:pPr>
        <w:pStyle w:val="ListBullet"/>
      </w:pPr>
      <w:r>
        <w:t>Check the N5 and N119 facts, dates and signatures immediately before issue.</w:t>
      </w:r>
    </w:p>
    <w:p>
      <w:pPr>
        <w:pStyle w:val="ListBullet"/>
      </w:pPr>
      <w:r>
        <w:t>Include the completed service evidence.</w:t>
      </w:r>
    </w:p>
    <w:p>
      <w:pPr>
        <w:pStyle w:val="ListBullet"/>
      </w:pPr>
      <w:r>
        <w:t>Add the management-company witness statement and supporting contemporaneous records.</w:t>
      </w:r>
    </w:p>
    <w:p>
      <w:pPr>
        <w:pStyle w:val="ListBullet"/>
      </w:pPr>
      <w:r>
        <w:t>Include the property-condition photographs and completed access log.</w:t>
      </w:r>
    </w:p>
    <w:p>
      <w:pPr>
        <w:pStyle w:val="ListBullet"/>
      </w:pPr>
      <w:r>
        <w:t>Do not allege a breach of the management-company pet policy. The case relies on alleged nuisance, condition and communal-area evidence.</w:t>
      </w:r>
    </w:p>
    <w:p>
      <w:pPr>
        <w:pStyle w:val="Heading1"/>
      </w:pPr>
      <w:r>
        <w:t>Review before issue</w:t>
      </w:r>
    </w:p>
    <w:p>
      <w:pPr>
        <w:pStyle w:val="ListBullet"/>
      </w:pPr>
      <w:r>
        <w:t>Review the pack if new disrepair, harassment, disability, vulnerability, safeguarding or counterclaim issues are raised.</w:t>
      </w:r>
    </w:p>
    <w:p>
      <w:pPr>
        <w:pStyle w:val="ListBullet"/>
      </w:pPr>
      <w:r>
        <w:t>Ground 15 remains excluded on the current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