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ptos" w:hAnsi="Aptos"/>
          <w:b/>
          <w:color w:val="2F174F"/>
          <w:sz w:val="40"/>
        </w:rPr>
        <w:t>Cover letter to William and Leanne</w:t>
      </w:r>
    </w:p>
    <w:tbl>
      <w:tblPr>
        <w:tblStyle w:val="TableGrid"/>
        <w:tblW w:type="auto" w:w="0"/>
        <w:jc w:val="center"/>
        <w:tblLook w:firstColumn="1" w:firstRow="1" w:lastColumn="0" w:lastRow="0" w:noHBand="0" w:noVBand="1" w:val="04A0"/>
      </w:tblPr>
      <w:tblGrid>
        <w:gridCol w:w="5040"/>
        <w:gridCol w:w="5040"/>
      </w:tblGrid>
      <w:tr>
        <w:tc>
          <w:tcPr>
            <w:tcW w:type="dxa" w:w="2880"/>
            <w:shd w:fill="F4EFFF"/>
            <w:tcBorders>
              <w:top w:val="single" w:sz="8" w:space="0" w:color="DDD6FE"/>
              <w:left w:val="single" w:sz="8" w:space="0" w:color="DDD6FE"/>
              <w:bottom w:val="single" w:sz="8" w:space="0" w:color="DDD6FE"/>
              <w:right w:val="single" w:sz="8" w:space="0" w:color="DDD6FE"/>
            </w:tcBorders>
            <w:vAlign w:val="center"/>
          </w:tcPr>
          <w:p>
            <w:r>
              <w:rPr>
                <w:rFonts w:ascii="Aptos" w:hAnsi="Aptos"/>
                <w:b/>
                <w:color w:val="2F174F"/>
                <w:sz w:val="19"/>
              </w:rPr>
              <w:t>To</w:t>
            </w:r>
          </w:p>
        </w:tc>
        <w:tc>
          <w:tcPr>
            <w:tcW w:type="dxa" w:w="7056"/>
            <w:tcBorders>
              <w:top w:val="single" w:sz="8" w:space="0" w:color="DDD6FE"/>
              <w:left w:val="single" w:sz="8" w:space="0" w:color="DDD6FE"/>
              <w:bottom w:val="single" w:sz="8" w:space="0" w:color="DDD6FE"/>
              <w:right w:val="single" w:sz="8" w:space="0" w:color="DDD6FE"/>
            </w:tcBorders>
            <w:vAlign w:val="center"/>
          </w:tcPr>
          <w:p>
            <w:r>
              <w:rPr>
                <w:rFonts w:ascii="Aptos" w:hAnsi="Aptos"/>
                <w:b w:val="0"/>
                <w:color w:val="1D1532"/>
                <w:sz w:val="19"/>
              </w:rPr>
              <w:t>William Mumford and Leanne Mumford</w:t>
            </w:r>
          </w:p>
        </w:tc>
      </w:tr>
      <w:tr>
        <w:tc>
          <w:tcPr>
            <w:tcW w:type="dxa" w:w="2880"/>
            <w:shd w:fill="F4EFFF"/>
            <w:tcBorders>
              <w:top w:val="single" w:sz="8" w:space="0" w:color="DDD6FE"/>
              <w:left w:val="single" w:sz="8" w:space="0" w:color="DDD6FE"/>
              <w:bottom w:val="single" w:sz="8" w:space="0" w:color="DDD6FE"/>
              <w:right w:val="single" w:sz="8" w:space="0" w:color="DDD6FE"/>
            </w:tcBorders>
            <w:vAlign w:val="center"/>
          </w:tcPr>
          <w:p>
            <w:r>
              <w:rPr>
                <w:rFonts w:ascii="Aptos" w:hAnsi="Aptos"/>
                <w:b/>
                <w:color w:val="2F174F"/>
                <w:sz w:val="19"/>
              </w:rPr>
              <w:t>Address</w:t>
            </w:r>
          </w:p>
        </w:tc>
        <w:tc>
          <w:tcPr>
            <w:tcW w:type="dxa" w:w="7056"/>
            <w:tcBorders>
              <w:top w:val="single" w:sz="8" w:space="0" w:color="DDD6FE"/>
              <w:left w:val="single" w:sz="8" w:space="0" w:color="DDD6FE"/>
              <w:bottom w:val="single" w:sz="8" w:space="0" w:color="DDD6FE"/>
              <w:right w:val="single" w:sz="8" w:space="0" w:color="DDD6FE"/>
            </w:tcBorders>
            <w:vAlign w:val="center"/>
          </w:tcPr>
          <w:p>
            <w:r>
              <w:rPr>
                <w:rFonts w:ascii="Aptos" w:hAnsi="Aptos"/>
                <w:b w:val="0"/>
                <w:color w:val="1D1532"/>
                <w:sz w:val="19"/>
              </w:rPr>
              <w:t>39 Boundary Close, Kingswood, Gloucestershire, GL12 8EN</w:t>
            </w:r>
          </w:p>
        </w:tc>
      </w:tr>
      <w:tr>
        <w:tc>
          <w:tcPr>
            <w:tcW w:type="dxa" w:w="2880"/>
            <w:shd w:fill="F4EFFF"/>
            <w:tcBorders>
              <w:top w:val="single" w:sz="8" w:space="0" w:color="DDD6FE"/>
              <w:left w:val="single" w:sz="8" w:space="0" w:color="DDD6FE"/>
              <w:bottom w:val="single" w:sz="8" w:space="0" w:color="DDD6FE"/>
              <w:right w:val="single" w:sz="8" w:space="0" w:color="DDD6FE"/>
            </w:tcBorders>
            <w:vAlign w:val="center"/>
          </w:tcPr>
          <w:p>
            <w:r>
              <w:rPr>
                <w:rFonts w:ascii="Aptos" w:hAnsi="Aptos"/>
                <w:b/>
                <w:color w:val="2F174F"/>
                <w:sz w:val="19"/>
              </w:rPr>
              <w:t>William contact</w:t>
            </w:r>
          </w:p>
        </w:tc>
        <w:tc>
          <w:tcPr>
            <w:tcW w:type="dxa" w:w="7056"/>
            <w:tcBorders>
              <w:top w:val="single" w:sz="8" w:space="0" w:color="DDD6FE"/>
              <w:left w:val="single" w:sz="8" w:space="0" w:color="DDD6FE"/>
              <w:bottom w:val="single" w:sz="8" w:space="0" w:color="DDD6FE"/>
              <w:right w:val="single" w:sz="8" w:space="0" w:color="DDD6FE"/>
            </w:tcBorders>
            <w:vAlign w:val="center"/>
          </w:tcPr>
          <w:p>
            <w:r>
              <w:rPr>
                <w:rFonts w:ascii="Aptos" w:hAnsi="Aptos"/>
                <w:b w:val="0"/>
                <w:color w:val="1D1532"/>
                <w:sz w:val="19"/>
              </w:rPr>
              <w:t>will1883@hotmail.co.uk / 07878 789367</w:t>
            </w:r>
          </w:p>
        </w:tc>
      </w:tr>
      <w:tr>
        <w:tc>
          <w:tcPr>
            <w:tcW w:type="dxa" w:w="2880"/>
            <w:shd w:fill="F4EFFF"/>
            <w:tcBorders>
              <w:top w:val="single" w:sz="8" w:space="0" w:color="DDD6FE"/>
              <w:left w:val="single" w:sz="8" w:space="0" w:color="DDD6FE"/>
              <w:bottom w:val="single" w:sz="8" w:space="0" w:color="DDD6FE"/>
              <w:right w:val="single" w:sz="8" w:space="0" w:color="DDD6FE"/>
            </w:tcBorders>
            <w:vAlign w:val="center"/>
          </w:tcPr>
          <w:p>
            <w:r>
              <w:rPr>
                <w:rFonts w:ascii="Aptos" w:hAnsi="Aptos"/>
                <w:b/>
                <w:color w:val="2F174F"/>
                <w:sz w:val="19"/>
              </w:rPr>
              <w:t>Prepared by</w:t>
            </w:r>
          </w:p>
        </w:tc>
        <w:tc>
          <w:tcPr>
            <w:tcW w:type="dxa" w:w="7056"/>
            <w:tcBorders>
              <w:top w:val="single" w:sz="8" w:space="0" w:color="DDD6FE"/>
              <w:left w:val="single" w:sz="8" w:space="0" w:color="DDD6FE"/>
              <w:bottom w:val="single" w:sz="8" w:space="0" w:color="DDD6FE"/>
              <w:right w:val="single" w:sz="8" w:space="0" w:color="DDD6FE"/>
            </w:tcBorders>
            <w:vAlign w:val="center"/>
          </w:tcPr>
          <w:p>
            <w:r>
              <w:rPr>
                <w:rFonts w:ascii="Aptos" w:hAnsi="Aptos"/>
                <w:b w:val="0"/>
                <w:color w:val="1D1532"/>
                <w:sz w:val="19"/>
              </w:rPr>
              <w:t>Tariq Mohammed</w:t>
            </w:r>
          </w:p>
        </w:tc>
      </w:tr>
      <w:tr>
        <w:tc>
          <w:tcPr>
            <w:tcW w:type="dxa" w:w="2880"/>
            <w:shd w:fill="F4EFFF"/>
            <w:tcBorders>
              <w:top w:val="single" w:sz="8" w:space="0" w:color="DDD6FE"/>
              <w:left w:val="single" w:sz="8" w:space="0" w:color="DDD6FE"/>
              <w:bottom w:val="single" w:sz="8" w:space="0" w:color="DDD6FE"/>
              <w:right w:val="single" w:sz="8" w:space="0" w:color="DDD6FE"/>
            </w:tcBorders>
            <w:vAlign w:val="center"/>
          </w:tcPr>
          <w:p>
            <w:r>
              <w:rPr>
                <w:rFonts w:ascii="Aptos" w:hAnsi="Aptos"/>
                <w:b/>
                <w:color w:val="2F174F"/>
                <w:sz w:val="19"/>
              </w:rPr>
              <w:t>Landlord Heaven</w:t>
            </w:r>
          </w:p>
        </w:tc>
        <w:tc>
          <w:tcPr>
            <w:tcW w:type="dxa" w:w="7056"/>
            <w:tcBorders>
              <w:top w:val="single" w:sz="8" w:space="0" w:color="DDD6FE"/>
              <w:left w:val="single" w:sz="8" w:space="0" w:color="DDD6FE"/>
              <w:bottom w:val="single" w:sz="8" w:space="0" w:color="DDD6FE"/>
              <w:right w:val="single" w:sz="8" w:space="0" w:color="DDD6FE"/>
            </w:tcBorders>
            <w:vAlign w:val="center"/>
          </w:tcPr>
          <w:p>
            <w:r>
              <w:rPr>
                <w:rFonts w:ascii="Aptos" w:hAnsi="Aptos"/>
                <w:b w:val="0"/>
                <w:color w:val="1D1532"/>
                <w:sz w:val="19"/>
              </w:rPr>
              <w:t>Bradford Chamber Business Park, New Lane, Bradford, BD4 8BX | 0871 234 0832</w:t>
            </w:r>
          </w:p>
        </w:tc>
      </w:tr>
    </w:tbl>
    <w:p>
      <w:r>
        <w:rPr>
          <w:rFonts w:ascii="Aptos" w:hAnsi="Aptos"/>
          <w:b w:val="0"/>
          <w:color w:val="1D1532"/>
          <w:sz w:val="21"/>
        </w:rPr>
        <w:t>Dear William and Leanne,</w:t>
      </w:r>
    </w:p>
    <w:p>
      <w:r>
        <w:rPr>
          <w:rFonts w:ascii="Aptos" w:hAnsi="Aptos"/>
          <w:b w:val="0"/>
          <w:color w:val="1D1532"/>
          <w:sz w:val="21"/>
        </w:rPr>
        <w:t>The pack has been compiled around the safer re-service route. The corrected Form 3A names both joint landlords and is prepared for service on 22 June 2026. The N5 and N119 are drafted for issue on or after 6 July 2026, assuming the corrected notice is properly served on 22 June 2026 and proof of service is kept.</w:t>
      </w:r>
    </w:p>
    <w:p>
      <w:r>
        <w:rPr>
          <w:rFonts w:ascii="Aptos" w:hAnsi="Aptos"/>
          <w:b w:val="0"/>
          <w:color w:val="1D1532"/>
          <w:sz w:val="21"/>
        </w:rPr>
        <w:t>The live claim relies on Ground 13 and Ground 14 only. Ground 14 is the primary ground. Ground 13 supports the property condition and access issues. Ground 15 was considered but excluded on the current evidence.</w:t>
      </w:r>
    </w:p>
    <w:p>
      <w:r>
        <w:rPr>
          <w:rFonts w:ascii="Aptos" w:hAnsi="Aptos"/>
          <w:b w:val="0"/>
          <w:color w:val="1D1532"/>
          <w:sz w:val="21"/>
        </w:rPr>
        <w:t>The tenancy wording permits pets only in accordance with the management company policy. The pack does not rely on a blanket pet ban. The Ground 14 case is framed around alleged nuisance, smell, hygiene concerns, unsanitary conditions, communal-area impact and associated conduct.</w:t>
      </w:r>
    </w:p>
    <w:p>
      <w:r>
        <w:t>Before issue, retain the completed service evidence, complete the access log and add a signed management-company witness statement with its supporting records. The claim does not rely on an alleged breach of the management-company pet policy; it relies on the alleged nuisance, condition and communal-area evidence.</w:t>
      </w:r>
    </w:p>
    <w:p>
      <w:r>
        <w:rPr>
          <w:rFonts w:ascii="Aptos" w:hAnsi="Aptos"/>
          <w:b w:val="0"/>
          <w:color w:val="1D1532"/>
          <w:sz w:val="21"/>
        </w:rPr>
        <w:t>William has confirmed that Rebecca has not currently raised disrepair, harassment, disability, vulnerability, safeguarding or counterclaim issues. If any of those issues are raised before filing, the court pack should be reviewed before the claim is issued.</w:t>
      </w:r>
    </w:p>
    <w:p>
      <w:r>
        <w:rPr>
          <w:rFonts w:ascii="Aptos" w:hAnsi="Aptos"/>
          <w:b w:val="0"/>
          <w:color w:val="1D1532"/>
          <w:sz w:val="21"/>
        </w:rPr>
        <w:t>Please review all documents carefully before serving or filing. The documents are prepared from the information and evidence available, and the court will decide whether to make any order.</w:t>
      </w:r>
    </w:p>
    <w:p>
      <w:r>
        <w:rPr>
          <w:rFonts w:ascii="Aptos" w:hAnsi="Aptos"/>
          <w:b w:val="0"/>
          <w:color w:val="1D1532"/>
          <w:sz w:val="21"/>
        </w:rPr>
        <w:t>Yours sincerely</w:t>
      </w:r>
      <w:r>
        <w:br/>
      </w:r>
      <w:r>
        <w:rPr>
          <w:rFonts w:ascii="Aptos" w:hAnsi="Aptos"/>
          <w:b w:val="0"/>
          <w:color w:val="1D1532"/>
          <w:sz w:val="21"/>
        </w:rPr>
        <w:t>Tariq Mohammed</w:t>
      </w:r>
      <w:r>
        <w:br/>
      </w:r>
      <w:r>
        <w:rPr>
          <w:rFonts w:ascii="Aptos" w:hAnsi="Aptos"/>
          <w:b w:val="0"/>
          <w:color w:val="1D1532"/>
          <w:sz w:val="21"/>
        </w:rPr>
        <w:t>Landlord Heaven</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ptos" w:hAnsi="Aptos"/>
        <w:b w:val="0"/>
        <w:color w:val="5B516D"/>
        <w:sz w:val="16"/>
      </w:rPr>
      <w:t>Report prepared by Tariq Mohammed for Landlord Heaven | 0871 234 0832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84"/>
      <w:gridCol w:w="5184"/>
    </w:tblGrid>
    <w:tr>
      <w:tc>
        <w:tcPr>
          <w:tcW w:type="dxa" w:w="5184"/>
          <w:vAlign w:val="center"/>
        </w:tcPr>
        <w:p>
          <w:r>
            <w:drawing>
              <wp:inline xmlns:a="http://schemas.openxmlformats.org/drawingml/2006/main" xmlns:pic="http://schemas.openxmlformats.org/drawingml/2006/picture">
                <wp:extent cx="2148840" cy="319361"/>
                <wp:docPr id="1" name="Picture 1"/>
                <wp:cNvGraphicFramePr>
                  <a:graphicFrameLocks noChangeAspect="1"/>
                </wp:cNvGraphicFramePr>
                <a:graphic>
                  <a:graphicData uri="http://schemas.openxmlformats.org/drawingml/2006/picture">
                    <pic:pic>
                      <pic:nvPicPr>
                        <pic:cNvPr id="0" name="headerlogo.png"/>
                        <pic:cNvPicPr/>
                      </pic:nvPicPr>
                      <pic:blipFill>
                        <a:blip r:embed="rId1"/>
                        <a:stretch>
                          <a:fillRect/>
                        </a:stretch>
                      </pic:blipFill>
                      <pic:spPr>
                        <a:xfrm>
                          <a:off x="0" y="0"/>
                          <a:ext cx="2148840" cy="319361"/>
                        </a:xfrm>
                        <a:prstGeom prst="rect"/>
                      </pic:spPr>
                    </pic:pic>
                  </a:graphicData>
                </a:graphic>
              </wp:inline>
            </w:drawing>
          </w:r>
        </w:p>
      </w:tc>
      <w:tc>
        <w:tcPr>
          <w:tcW w:type="dxa" w:w="5184"/>
          <w:vAlign w:val="center"/>
        </w:tcPr>
        <w:p>
          <w:pPr>
            <w:jc w:val="right"/>
          </w:pPr>
          <w:r>
            <w:rPr>
              <w:rFonts w:ascii="Aptos" w:hAnsi="Aptos"/>
              <w:b/>
              <w:color w:val="2F174F"/>
              <w:sz w:val="20"/>
            </w:rPr>
            <w:t>Landlord Heaven</w:t>
            <w:br/>
          </w:r>
          <w:r>
            <w:rPr>
              <w:rFonts w:ascii="Aptos" w:hAnsi="Aptos"/>
              <w:b w:val="0"/>
              <w:color w:val="5B516D"/>
              <w:sz w:val="17"/>
            </w:rPr>
            <w:t>Bradford Chamber Business Park</w:t>
            <w:br/>
          </w:r>
          <w:r>
            <w:rPr>
              <w:rFonts w:ascii="Aptos" w:hAnsi="Aptos"/>
              <w:b w:val="0"/>
              <w:color w:val="5B516D"/>
              <w:sz w:val="17"/>
            </w:rPr>
            <w:t>New Lane</w:t>
            <w:br/>
          </w:r>
          <w:r>
            <w:rPr>
              <w:rFonts w:ascii="Aptos" w:hAnsi="Aptos"/>
              <w:b w:val="0"/>
              <w:color w:val="5B516D"/>
              <w:sz w:val="17"/>
            </w:rPr>
            <w:t>Bradford, BD4 8BX</w:t>
            <w:br/>
          </w:r>
          <w:r>
            <w:rPr>
              <w:rFonts w:ascii="Aptos" w:hAnsi="Aptos"/>
              <w:b w:val="0"/>
              <w:color w:val="5B516D"/>
              <w:sz w:val="17"/>
            </w:rPr>
            <w:t>0871 234 0832</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D15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D153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D153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D1532"/>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