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2F174F"/>
          <w:sz w:val="40"/>
        </w:rPr>
        <w:t>Mumford Possession Pack Final Audit</w:t>
      </w:r>
    </w:p>
    <w:p>
      <w:r>
        <w:rPr>
          <w:rFonts w:ascii="Aptos" w:hAnsi="Aptos"/>
          <w:b/>
          <w:color w:val="6D28D9"/>
          <w:sz w:val="17"/>
        </w:rPr>
        <w:t>LANDLORD HEAVEN QUALITY REPORT</w:t>
      </w:r>
    </w:p>
    <w:tbl>
      <w:tblPr>
        <w:tblStyle w:val="TableGrid"/>
        <w:tblW w:type="auto" w:w="0"/>
        <w:jc w:val="center"/>
        <w:tblLook w:firstColumn="1" w:firstRow="1" w:lastColumn="0" w:lastRow="0" w:noHBand="0" w:noVBand="1" w:val="04A0"/>
      </w:tblPr>
      <w:tblGrid>
        <w:gridCol w:w="5040"/>
        <w:gridCol w:w="5040"/>
      </w:tblGrid>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Prepared for</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William Mumford and Leanne Mumford</w:t>
            </w:r>
          </w:p>
        </w:tc>
      </w:tr>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Claimant address</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39 Boundary Close, Kingswood, Gloucestershire, GL12 8EN</w:t>
            </w:r>
          </w:p>
        </w:tc>
      </w:tr>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Rental property</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Flat 7 Machin Mews, Standfast Road, Henbury, Bristol, BS10 7HJ</w:t>
            </w:r>
          </w:p>
        </w:tc>
      </w:tr>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Court</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Bristol County Court and Family Court</w:t>
            </w:r>
          </w:p>
        </w:tc>
      </w:tr>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Report prepared by</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Tariq Mohammed</w:t>
            </w:r>
          </w:p>
        </w:tc>
      </w:tr>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Generated</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18 June 2026 after final bundle-index, zip-manifest and branding reconciliation.</w:t>
            </w:r>
          </w:p>
        </w:tc>
      </w:tr>
    </w:tbl>
    <w:p>
      <w:r>
        <w:rPr>
          <w:rFonts w:ascii="Aptos" w:hAnsi="Aptos"/>
          <w:b/>
          <w:color w:val="2F174F"/>
          <w:sz w:val="26"/>
        </w:rPr>
        <w:t>Overall checks</w:t>
      </w:r>
    </w:p>
    <w:tbl>
      <w:tblPr>
        <w:tblStyle w:val="TableGrid"/>
        <w:tblW w:type="auto" w:w="0"/>
        <w:jc w:val="center"/>
        <w:tblLook w:firstColumn="1" w:firstRow="1" w:lastColumn="0" w:lastRow="0" w:noHBand="0" w:noVBand="1" w:val="04A0"/>
      </w:tblPr>
      <w:tblGrid>
        <w:gridCol w:w="5040"/>
        <w:gridCol w:w="5040"/>
      </w:tblGrid>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No markdown files in customer zip</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PASS</w:t>
            </w:r>
          </w:p>
        </w:tc>
      </w:tr>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Old uploaded Form 3A evidence image folder removed</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PASS</w:t>
            </w:r>
          </w:p>
        </w:tc>
      </w:tr>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Blank official form backup folder not exported or indexed</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PASS</w:t>
            </w:r>
          </w:p>
        </w:tc>
      </w:tr>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Bundle index references only exported folders</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PASS</w:t>
            </w:r>
          </w:p>
        </w:tc>
      </w:tr>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Audit folder name consistent as audit-landlord-pack-final-fix</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PASS</w:t>
            </w:r>
          </w:p>
        </w:tc>
      </w:tr>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Landlord address added to Landlord Heaven guidance/report documents</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PASS</w:t>
            </w:r>
          </w:p>
        </w:tc>
      </w:tr>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Landlord Heaven branding kept off court-facing witness templates</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PASS</w:t>
            </w:r>
          </w:p>
        </w:tc>
      </w:tr>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N215 page 4 claimant signature/name correct</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PASS</w:t>
            </w:r>
          </w:p>
        </w:tc>
      </w:tr>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N215 date fields correct</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PASS</w:t>
            </w:r>
          </w:p>
        </w:tc>
      </w:tr>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N215 legal representative fields blank</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PASS</w:t>
            </w:r>
          </w:p>
        </w:tc>
      </w:tr>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N5 correspondence/representative alternate fields blank</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PASS</w:t>
            </w:r>
          </w:p>
        </w:tc>
      </w:tr>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Form 3A has no live Ground 15 text</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PASS</w:t>
            </w:r>
          </w:p>
        </w:tc>
      </w:tr>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Form 3A no duplicated court name</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PASS</w:t>
            </w:r>
          </w:p>
        </w:tc>
      </w:tr>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N5 has no live Ground 15 text</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PASS</w:t>
            </w:r>
          </w:p>
        </w:tc>
      </w:tr>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N5 no duplicated court name</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PASS</w:t>
            </w:r>
          </w:p>
        </w:tc>
      </w:tr>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N119 has no live Ground 15 text</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PASS</w:t>
            </w:r>
          </w:p>
        </w:tc>
      </w:tr>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N119 no duplicated court name</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PASS</w:t>
            </w:r>
          </w:p>
        </w:tc>
      </w:tr>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N119 has safer cleaner witness wording</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PASS</w:t>
            </w:r>
          </w:p>
        </w:tc>
      </w:tr>
    </w:tbl>
    <w:p>
      <w:r>
        <w:rPr>
          <w:rFonts w:ascii="Aptos" w:hAnsi="Aptos"/>
          <w:b/>
          <w:color w:val="2F174F"/>
          <w:sz w:val="26"/>
        </w:rPr>
        <w:t>Bundle Index vs Actual Zip Manifest</w:t>
      </w:r>
    </w:p>
    <w:p>
      <w:r>
        <w:rPr>
          <w:rFonts w:ascii="Aptos" w:hAnsi="Aptos"/>
          <w:b w:val="0"/>
          <w:color w:val="1D1532"/>
          <w:sz w:val="21"/>
        </w:rPr>
        <w:t>The final zip was checked against the bundle index. The index lists only exported folders. The blank official form backup folder is intentionally removed from the customer pack and is not listed in the bundle index.</w:t>
      </w:r>
    </w:p>
    <w:tbl>
      <w:tblPr>
        <w:tblStyle w:val="TableGrid"/>
        <w:tblW w:type="auto" w:w="0"/>
        <w:jc w:val="center"/>
        <w:tblLook w:firstColumn="1" w:firstRow="1" w:lastColumn="0" w:lastRow="0" w:noHBand="0" w:noVBand="1" w:val="04A0"/>
      </w:tblPr>
      <w:tblGrid>
        <w:gridCol w:w="5040"/>
        <w:gridCol w:w="5040"/>
      </w:tblGrid>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00_READ_FIRST_CASE_SUMMARY_AND_INDEX</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Yes | PASS</w:t>
            </w:r>
          </w:p>
        </w:tc>
      </w:tr>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01_SERVE_ON_MONDAY_22_JUNE_2026</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Yes | PASS</w:t>
            </w:r>
          </w:p>
        </w:tc>
      </w:tr>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02_COMPLETE_AFTER_SERVICE</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Yes | PASS</w:t>
            </w:r>
          </w:p>
        </w:tc>
      </w:tr>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03_COURT_FORMS_FOR_ISSUE_ON_OR_AFTER_06_JULY_2026</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Yes | PASS</w:t>
            </w:r>
          </w:p>
        </w:tc>
      </w:tr>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04_EVIDENCE_BUNDLE</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Yes | PASS</w:t>
            </w:r>
          </w:p>
        </w:tc>
      </w:tr>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05_WITNESS_STATEMENTS_TO_ADD</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Yes | PASS</w:t>
            </w:r>
          </w:p>
        </w:tc>
      </w:tr>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06_OFFICIAL_BLANK_FORMS_BACKUP</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Removed | PASS</w:t>
            </w:r>
          </w:p>
        </w:tc>
      </w:tr>
      <w:tr>
        <w:tc>
          <w:tcPr>
            <w:tcW w:type="dxa" w:w="2880"/>
            <w:shd w:fill="F4EFFF"/>
            <w:tcBorders>
              <w:top w:val="single" w:sz="8" w:space="0" w:color="DDD6FE"/>
              <w:left w:val="single" w:sz="8" w:space="0" w:color="DDD6FE"/>
              <w:bottom w:val="single" w:sz="8" w:space="0" w:color="DDD6FE"/>
              <w:right w:val="single" w:sz="8" w:space="0" w:color="DDD6FE"/>
            </w:tcBorders>
            <w:vAlign w:val="center"/>
          </w:tcPr>
          <w:p>
            <w:r>
              <w:rPr>
                <w:rFonts w:ascii="Aptos" w:hAnsi="Aptos"/>
                <w:b/>
                <w:color w:val="2F174F"/>
                <w:sz w:val="19"/>
              </w:rPr>
              <w:t>audit-landlord-pack-final-fix</w:t>
            </w:r>
          </w:p>
        </w:tc>
        <w:tc>
          <w:tcPr>
            <w:tcW w:type="dxa" w:w="7056"/>
            <w:tcBorders>
              <w:top w:val="single" w:sz="8" w:space="0" w:color="DDD6FE"/>
              <w:left w:val="single" w:sz="8" w:space="0" w:color="DDD6FE"/>
              <w:bottom w:val="single" w:sz="8" w:space="0" w:color="DDD6FE"/>
              <w:right w:val="single" w:sz="8" w:space="0" w:color="DDD6FE"/>
            </w:tcBorders>
            <w:vAlign w:val="center"/>
          </w:tcPr>
          <w:p>
            <w:r>
              <w:rPr>
                <w:rFonts w:ascii="Aptos" w:hAnsi="Aptos"/>
                <w:b w:val="0"/>
                <w:color w:val="1D1532"/>
                <w:sz w:val="19"/>
              </w:rPr>
              <w:t>Yes | PASS</w:t>
            </w:r>
          </w:p>
        </w:tc>
      </w:tr>
    </w:tbl>
    <w:p>
      <w:r>
        <w:rPr>
          <w:rFonts w:ascii="Aptos" w:hAnsi="Aptos"/>
          <w:b/>
          <w:color w:val="2F174F"/>
          <w:sz w:val="26"/>
        </w:rPr>
        <w:t>Exported file inventory</w:t>
      </w:r>
    </w:p>
    <w:p>
      <w:r>
        <w:rPr>
          <w:rFonts w:ascii="Aptos" w:hAnsi="Aptos"/>
          <w:b w:val="0"/>
          <w:color w:val="1D1532"/>
          <w:sz w:val="21"/>
        </w:rPr>
        <w:t>00_READ_FIRST_CASE_SUMMARY_AND_INDEX\01-claimant-case-summary.docx</w:t>
      </w:r>
    </w:p>
    <w:p>
      <w:r>
        <w:rPr>
          <w:rFonts w:ascii="Aptos" w:hAnsi="Aptos"/>
          <w:b w:val="0"/>
          <w:color w:val="1D1532"/>
          <w:sz w:val="21"/>
        </w:rPr>
        <w:t>00_READ_FIRST_CASE_SUMMARY_AND_INDEX\02-bundle-index.docx</w:t>
      </w:r>
    </w:p>
    <w:p>
      <w:r>
        <w:rPr>
          <w:rFonts w:ascii="Aptos" w:hAnsi="Aptos"/>
          <w:b w:val="0"/>
          <w:color w:val="1D1532"/>
          <w:sz w:val="21"/>
        </w:rPr>
        <w:t>00_READ_FIRST_CASE_SUMMARY_AND_INDEX\03-filing-status-and-next-steps.docx</w:t>
      </w:r>
    </w:p>
    <w:p>
      <w:r>
        <w:rPr>
          <w:rFonts w:ascii="Aptos" w:hAnsi="Aptos"/>
          <w:b w:val="0"/>
          <w:color w:val="1D1532"/>
          <w:sz w:val="21"/>
        </w:rPr>
        <w:t>00_READ_FIRST_CASE_SUMMARY_AND_INDEX\04-cover-letter-to-william-and-leanne.docx</w:t>
      </w:r>
    </w:p>
    <w:p>
      <w:r>
        <w:rPr>
          <w:rFonts w:ascii="Aptos" w:hAnsi="Aptos"/>
          <w:b w:val="0"/>
          <w:color w:val="1D1532"/>
          <w:sz w:val="21"/>
        </w:rPr>
        <w:t>01_SERVE_ON_MONDAY_22_JUNE_2026\01-form-3a-corrected-joint-landlords-serve-22-06-2026.pdf</w:t>
      </w:r>
    </w:p>
    <w:p>
      <w:r>
        <w:rPr>
          <w:rFonts w:ascii="Aptos" w:hAnsi="Aptos"/>
          <w:b w:val="0"/>
          <w:color w:val="1D1532"/>
          <w:sz w:val="21"/>
        </w:rPr>
        <w:t>01_SERVE_ON_MONDAY_22_JUNE_2026\02-service-checklist-for-monday.docx</w:t>
      </w:r>
    </w:p>
    <w:p>
      <w:r>
        <w:rPr>
          <w:rFonts w:ascii="Aptos" w:hAnsi="Aptos"/>
          <w:b w:val="0"/>
          <w:color w:val="1D1532"/>
          <w:sz w:val="21"/>
        </w:rPr>
        <w:t>02_COMPLETE_AFTER_SERVICE\01-draft-n215-complete-after-service.pdf</w:t>
      </w:r>
    </w:p>
    <w:p>
      <w:r>
        <w:rPr>
          <w:rFonts w:ascii="Aptos" w:hAnsi="Aptos"/>
          <w:b w:val="0"/>
          <w:color w:val="1D1532"/>
          <w:sz w:val="21"/>
        </w:rPr>
        <w:t>03_COURT_FORMS_FOR_ISSUE_ON_OR_AFTER_06_JULY_2026\01-draft-n5-possession-claim-issue-on-or-after-06-07-2026.pdf</w:t>
      </w:r>
    </w:p>
    <w:p>
      <w:r>
        <w:rPr>
          <w:rFonts w:ascii="Aptos" w:hAnsi="Aptos"/>
          <w:b w:val="0"/>
          <w:color w:val="1D1532"/>
          <w:sz w:val="21"/>
        </w:rPr>
        <w:t>03_COURT_FORMS_FOR_ISSUE_ON_OR_AFTER_06_JULY_2026\02-draft-n119-particulars-issue-on-or-after-06-07-2026.pdf</w:t>
      </w:r>
    </w:p>
    <w:p>
      <w:r>
        <w:rPr>
          <w:rFonts w:ascii="Aptos" w:hAnsi="Aptos"/>
          <w:b w:val="0"/>
          <w:color w:val="1D1532"/>
          <w:sz w:val="21"/>
        </w:rPr>
        <w:t>04_EVIDENCE_BUNDLE\04_Tenancy_Agreement\01-tenancy-agreement-parties-property-rent-deposit.jpeg</w:t>
      </w:r>
    </w:p>
    <w:p>
      <w:r>
        <w:rPr>
          <w:rFonts w:ascii="Aptos" w:hAnsi="Aptos"/>
          <w:b w:val="0"/>
          <w:color w:val="1D1532"/>
          <w:sz w:val="21"/>
        </w:rPr>
        <w:t>04_EVIDENCE_BUNDLE\04_Tenancy_Agreement\02-tenancy-agreement-signatures-and-periodic-continuation.jpeg</w:t>
      </w:r>
    </w:p>
    <w:p>
      <w:r>
        <w:rPr>
          <w:rFonts w:ascii="Aptos" w:hAnsi="Aptos"/>
          <w:b w:val="0"/>
          <w:color w:val="1D1532"/>
          <w:sz w:val="21"/>
        </w:rPr>
        <w:t>04_EVIDENCE_BUNDLE\05_Service_And_Correspondence_Evidence\01-renters-right-guide-email-24-05-2026.png</w:t>
      </w:r>
    </w:p>
    <w:p>
      <w:r>
        <w:rPr>
          <w:rFonts w:ascii="Aptos" w:hAnsi="Aptos"/>
          <w:b w:val="0"/>
          <w:color w:val="1D1532"/>
          <w:sz w:val="21"/>
        </w:rPr>
        <w:t>04_EVIDENCE_BUNDLE\05_Service_And_Correspondence_Evidence\02-electrician-remedial-email-extract.png</w:t>
      </w:r>
    </w:p>
    <w:p>
      <w:r>
        <w:rPr>
          <w:rFonts w:ascii="Aptos" w:hAnsi="Aptos"/>
          <w:b w:val="0"/>
          <w:color w:val="1D1532"/>
          <w:sz w:val="21"/>
        </w:rPr>
        <w:t>04_EVIDENCE_BUNDLE\05_Service_And_Correspondence_Evidence\03-management-company-cat-warning-email.png</w:t>
      </w:r>
    </w:p>
    <w:p>
      <w:r>
        <w:rPr>
          <w:rFonts w:ascii="Aptos" w:hAnsi="Aptos"/>
          <w:b w:val="0"/>
          <w:color w:val="1D1532"/>
          <w:sz w:val="21"/>
        </w:rPr>
        <w:t>04_EVIDENCE_BUNDLE\05_Service_And_Correspondence_Evidence\04-bns-maintenance-visit-and-cleanup-note.png</w:t>
      </w:r>
    </w:p>
    <w:p>
      <w:r>
        <w:rPr>
          <w:rFonts w:ascii="Aptos" w:hAnsi="Aptos"/>
          <w:b w:val="0"/>
          <w:color w:val="1D1532"/>
          <w:sz w:val="21"/>
        </w:rPr>
        <w:t>04_EVIDENCE_BUNDLE\06_Compliance_Evidence\01-epc-rating-c-screenshot.png</w:t>
      </w:r>
    </w:p>
    <w:p>
      <w:r>
        <w:rPr>
          <w:rFonts w:ascii="Aptos" w:hAnsi="Aptos"/>
          <w:b w:val="0"/>
          <w:color w:val="1D1532"/>
          <w:sz w:val="21"/>
        </w:rPr>
        <w:t>04_EVIDENCE_BUNDLE\06_Compliance_Evidence\02-gas-safety-certificate-29-05-2026.png</w:t>
      </w:r>
    </w:p>
    <w:p>
      <w:r>
        <w:rPr>
          <w:rFonts w:ascii="Aptos" w:hAnsi="Aptos"/>
          <w:b w:val="0"/>
          <w:color w:val="1D1532"/>
          <w:sz w:val="21"/>
        </w:rPr>
        <w:t>04_EVIDENCE_BUNDLE\07_Rent_And_Payment_Evidence\01-natwest-rent-payments-14-04-2025-to-14-04-2026.png</w:t>
      </w:r>
    </w:p>
    <w:p>
      <w:r>
        <w:rPr>
          <w:rFonts w:ascii="Aptos" w:hAnsi="Aptos"/>
          <w:b w:val="0"/>
          <w:color w:val="1D1532"/>
          <w:sz w:val="21"/>
        </w:rPr>
        <w:t>04_EVIDENCE_BUNDLE\07_Rent_And_Payment_Evidence\02-natwest-payment-22-05-2026-450.png</w:t>
      </w:r>
    </w:p>
    <w:p>
      <w:r>
        <w:rPr>
          <w:rFonts w:ascii="Aptos" w:hAnsi="Aptos"/>
          <w:b w:val="0"/>
          <w:color w:val="1D1532"/>
          <w:sz w:val="21"/>
        </w:rPr>
        <w:t>04_EVIDENCE_BUNDLE\08_Property_Condition_And_Grounds_Evidence\01-property-condition-photo.jpeg</w:t>
      </w:r>
    </w:p>
    <w:p>
      <w:r>
        <w:rPr>
          <w:rFonts w:ascii="Aptos" w:hAnsi="Aptos"/>
          <w:b w:val="0"/>
          <w:color w:val="1D1532"/>
          <w:sz w:val="21"/>
        </w:rPr>
        <w:t>05_WITNESS_STATEMENTS_TO_ADD\access-log-template.docx</w:t>
      </w:r>
    </w:p>
    <w:p>
      <w:r>
        <w:rPr>
          <w:rFonts w:ascii="Aptos" w:hAnsi="Aptos"/>
          <w:b w:val="0"/>
          <w:color w:val="1D1532"/>
          <w:sz w:val="21"/>
        </w:rPr>
        <w:t>05_WITNESS_STATEMENTS_TO_ADD\cleaner-witness-statement-template.docx</w:t>
      </w:r>
    </w:p>
    <w:p>
      <w:r>
        <w:rPr>
          <w:rFonts w:ascii="Aptos" w:hAnsi="Aptos"/>
          <w:b w:val="0"/>
          <w:color w:val="1D1532"/>
          <w:sz w:val="21"/>
        </w:rPr>
        <w:t>05_WITNESS_STATEMENTS_TO_ADD\contractor-witness-statement-template.docx</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b w:val="0"/>
        <w:color w:val="5B516D"/>
        <w:sz w:val="16"/>
      </w:rPr>
      <w:t>Report prepared by Tariq Mohammed for Landlord Heaven | 0871 234 0832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84"/>
      <w:gridCol w:w="5184"/>
    </w:tblGrid>
    <w:tr>
      <w:tc>
        <w:tcPr>
          <w:tcW w:type="dxa" w:w="5184"/>
          <w:vAlign w:val="center"/>
        </w:tcPr>
        <w:p>
          <w:r>
            <w:drawing>
              <wp:inline xmlns:a="http://schemas.openxmlformats.org/drawingml/2006/main" xmlns:pic="http://schemas.openxmlformats.org/drawingml/2006/picture">
                <wp:extent cx="2148840" cy="319361"/>
                <wp:docPr id="1" name="Picture 1"/>
                <wp:cNvGraphicFramePr>
                  <a:graphicFrameLocks noChangeAspect="1"/>
                </wp:cNvGraphicFramePr>
                <a:graphic>
                  <a:graphicData uri="http://schemas.openxmlformats.org/drawingml/2006/picture">
                    <pic:pic>
                      <pic:nvPicPr>
                        <pic:cNvPr id="0" name="headerlogo.png"/>
                        <pic:cNvPicPr/>
                      </pic:nvPicPr>
                      <pic:blipFill>
                        <a:blip r:embed="rId1"/>
                        <a:stretch>
                          <a:fillRect/>
                        </a:stretch>
                      </pic:blipFill>
                      <pic:spPr>
                        <a:xfrm>
                          <a:off x="0" y="0"/>
                          <a:ext cx="2148840" cy="319361"/>
                        </a:xfrm>
                        <a:prstGeom prst="rect"/>
                      </pic:spPr>
                    </pic:pic>
                  </a:graphicData>
                </a:graphic>
              </wp:inline>
            </w:drawing>
          </w:r>
        </w:p>
      </w:tc>
      <w:tc>
        <w:tcPr>
          <w:tcW w:type="dxa" w:w="5184"/>
          <w:vAlign w:val="center"/>
        </w:tcPr>
        <w:p>
          <w:pPr>
            <w:jc w:val="right"/>
          </w:pPr>
          <w:r>
            <w:rPr>
              <w:rFonts w:ascii="Aptos" w:hAnsi="Aptos"/>
              <w:b/>
              <w:color w:val="2F174F"/>
              <w:sz w:val="20"/>
            </w:rPr>
            <w:t>Landlord Heaven</w:t>
            <w:br/>
          </w:r>
          <w:r>
            <w:rPr>
              <w:rFonts w:ascii="Aptos" w:hAnsi="Aptos"/>
              <w:b w:val="0"/>
              <w:color w:val="5B516D"/>
              <w:sz w:val="17"/>
            </w:rPr>
            <w:t>Bradford Chamber Business Park</w:t>
            <w:br/>
          </w:r>
          <w:r>
            <w:rPr>
              <w:rFonts w:ascii="Aptos" w:hAnsi="Aptos"/>
              <w:b w:val="0"/>
              <w:color w:val="5B516D"/>
              <w:sz w:val="17"/>
            </w:rPr>
            <w:t>New Lane</w:t>
            <w:br/>
          </w:r>
          <w:r>
            <w:rPr>
              <w:rFonts w:ascii="Aptos" w:hAnsi="Aptos"/>
              <w:b w:val="0"/>
              <w:color w:val="5B516D"/>
              <w:sz w:val="17"/>
            </w:rPr>
            <w:t>Bradford, BD4 8BX</w:t>
            <w:br/>
          </w:r>
          <w:r>
            <w:rPr>
              <w:rFonts w:ascii="Aptos" w:hAnsi="Aptos"/>
              <w:b w:val="0"/>
              <w:color w:val="5B516D"/>
              <w:sz w:val="17"/>
            </w:rPr>
            <w:t>0871 234 0832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D15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D153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D15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D153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