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note – evidence and pleading review</w:t>
      </w:r>
    </w:p>
    <w:p>
      <w:r>
        <w:t>This updated pack records that the corrected Form 3A has been served and the service records have been completed and signed.</w:t>
      </w:r>
    </w:p>
    <w:p>
      <w:r>
        <w:t>The case is not pleaded as a breach of the management-company pet policy. The claim instead relies on the alleged nuisance, condition and communal-area evidence.</w:t>
      </w:r>
    </w:p>
    <w:p>
      <w:r>
        <w:t>A management-company witness-statement template has been added. It is designed to distinguish personal observations from company records and reports, and to exhibit contemporaneous documents.</w:t>
      </w:r>
    </w:p>
    <w:p>
      <w:r>
        <w:t>The unissued N119 has been revised to reflect the available management-company, contractor, photographic and service evidence. Review all facts, dates and the final evidence before signing or issuing any court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