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sz w:val="32"/>
        </w:rPr>
        <w:t>Filing and evidence update - 7 August 2026</w:t>
      </w:r>
    </w:p>
    <w:p>
      <w:pPr>
        <w:spacing w:after="240"/>
      </w:pPr>
      <w:r>
        <w:rPr>
          <w:rFonts w:ascii="Arial" w:hAnsi="Arial"/>
          <w:b w:val="0"/>
          <w:i/>
          <w:sz w:val="21"/>
        </w:rPr>
        <w:t>Flat 7 Machin Mews, Standfast Road, Henbury, Bristol, BS10 7HJ</w:t>
      </w:r>
    </w:p>
    <w:p>
      <w:r>
        <w:rPr>
          <w:rFonts w:ascii="Arial" w:hAnsi="Arial"/>
          <w:b w:val="0"/>
          <w:i w:val="0"/>
          <w:sz w:val="21"/>
        </w:rPr>
        <w:t>Status: the 3 August 2026 BNS email and the supplied resident-complaint screenshot should be retained as potential new evidence. This update does not itself verify any allegation, alter the served notice, or authorise issue of a claim.</w:t>
      </w:r>
    </w:p>
    <w:p>
      <w:pPr>
        <w:spacing w:before="200" w:after="80"/>
      </w:pPr>
      <w:r>
        <w:rPr>
          <w:rFonts w:ascii="Arial" w:hAnsi="Arial"/>
          <w:b/>
          <w:i w:val="0"/>
          <w:sz w:val="24"/>
        </w:rPr>
        <w:t>Assessment of the new material</w:t>
      </w:r>
    </w:p>
    <w:p>
      <w:r>
        <w:rPr>
          <w:rFonts w:ascii="Arial" w:hAnsi="Arial"/>
          <w:b w:val="0"/>
          <w:i w:val="0"/>
          <w:sz w:val="21"/>
        </w:rPr>
        <w:t>The BNS email is capable of strengthening the existing Ground 14 case. It is a dated management-company account that describes an alleged continuing odour and hygiene problem, reported impact on common parts, complaints from residents, and a reported inability of engineers and cleaners to work in the block. It also reports that an Electrical Installation Condition Report (EICR) has been delayed since May and that the engineers will not enter the relevant area until the reported odour is controlled.</w:t>
      </w:r>
    </w:p>
    <w:p>
      <w:r>
        <w:rPr>
          <w:rFonts w:ascii="Arial" w:hAnsi="Arial"/>
          <w:b w:val="0"/>
          <w:i w:val="0"/>
          <w:sz w:val="21"/>
        </w:rPr>
        <w:t>The email is strongest as evidence of the impact on neighbours, contractors and safety/compliance work. It does not, by itself, prove where the odour came from or every underlying allegation. The screenshot appears to support a resident-impact allegation, but the sender, full original message and date must be confirmed before it is relied on.</w:t>
      </w:r>
    </w:p>
    <w:p>
      <w:r>
        <w:rPr>
          <w:rFonts w:ascii="Arial" w:hAnsi="Arial"/>
          <w:b w:val="0"/>
          <w:i w:val="0"/>
          <w:sz w:val="21"/>
        </w:rPr>
        <w:t>Ground 14 is discretionary. The court will decide whether the evidence proves the ground and whether possession is reasonable. The email principally supports Ground 14; it does not, without clear evidence of physical deterioration caused by the tenant or an occupier, materially strengthen Ground 13.</w:t>
      </w:r>
    </w:p>
    <w:p>
      <w:pPr>
        <w:spacing w:before="200" w:after="80"/>
      </w:pPr>
      <w:r>
        <w:rPr>
          <w:rFonts w:ascii="Arial" w:hAnsi="Arial"/>
          <w:b/>
          <w:i w:val="0"/>
          <w:sz w:val="24"/>
        </w:rPr>
        <w:t>Critical court-form update</w:t>
      </w:r>
    </w:p>
    <w:p>
      <w:r>
        <w:rPr>
          <w:rFonts w:ascii="Arial" w:hAnsi="Arial"/>
          <w:b w:val="0"/>
          <w:i w:val="0"/>
          <w:sz w:val="21"/>
        </w:rPr>
        <w:t>The served Form 3A in the existing pack is marked 05.26 and appears to be the current private-rented-sector form. The draft N5 and N119 in the existing pack are both marked 10.20. They should not be issued for this post-1 May 2026 private-sector claim. Current blank N5 England (05.26) and N119 England (05.26) forms are included in this update folder for completion and final review.</w:t>
      </w:r>
    </w:p>
    <w:p>
      <w:r>
        <w:rPr>
          <w:rFonts w:ascii="Arial" w:hAnsi="Arial"/>
          <w:b w:val="0"/>
          <w:i w:val="0"/>
          <w:sz w:val="21"/>
        </w:rPr>
        <w:t>The claim must be rebuilt on the current forms and checked against the served Form 3A, the exact service evidence, the tenancy/deposit position, and all facts known at issue. No statement of truth should be signed unless the signatory honestly believes the pleaded facts are true.</w:t>
      </w:r>
    </w:p>
    <w:p>
      <w:pPr>
        <w:spacing w:before="200" w:after="80"/>
      </w:pPr>
      <w:r>
        <w:rPr>
          <w:rFonts w:ascii="Arial" w:hAnsi="Arial"/>
          <w:b/>
          <w:i w:val="0"/>
          <w:sz w:val="24"/>
        </w:rPr>
        <w:t>Evidence required before issue</w:t>
      </w:r>
    </w:p>
    <w:p>
      <w:pPr>
        <w:pStyle w:val="ListNumber"/>
        <w:spacing w:after="60"/>
      </w:pPr>
      <w:r>
        <w:rPr>
          <w:rFonts w:ascii="Arial" w:hAnsi="Arial"/>
          <w:b w:val="0"/>
          <w:i w:val="0"/>
          <w:sz w:val="21"/>
        </w:rPr>
        <w:t>Obtain the original BNS email chain in native email format or a clear PDF showing sender, recipient, date and full content; do not rely only on a forwarded copy.</w:t>
      </w:r>
    </w:p>
    <w:p>
      <w:pPr>
        <w:pStyle w:val="ListNumber"/>
        <w:spacing w:after="60"/>
      </w:pPr>
      <w:r>
        <w:rPr>
          <w:rFonts w:ascii="Arial" w:hAnsi="Arial"/>
          <w:b w:val="0"/>
          <w:i w:val="0"/>
          <w:sz w:val="21"/>
        </w:rPr>
        <w:t>Ask BNS for a signed witness statement from Tina Munford or another appropriate records witness, with the EICR booking/work order, engineers' refusal or aborted-attendance record, complaints log, cleaning records and prior correspondence exhibited.</w:t>
      </w:r>
    </w:p>
    <w:p>
      <w:pPr>
        <w:pStyle w:val="ListNumber"/>
        <w:spacing w:after="60"/>
      </w:pPr>
      <w:r>
        <w:rPr>
          <w:rFonts w:ascii="Arial" w:hAnsi="Arial"/>
          <w:b w:val="0"/>
          <w:i w:val="0"/>
          <w:sz w:val="21"/>
        </w:rPr>
        <w:t>Obtain a signed statement from the author of the Flat 8 complaint, with their name, address, dates of observations and the original unredacted email/message. The supplied screenshot should be preserved unchanged as a source copy.</w:t>
      </w:r>
    </w:p>
    <w:p>
      <w:pPr>
        <w:pStyle w:val="ListNumber"/>
        <w:spacing w:after="60"/>
      </w:pPr>
      <w:r>
        <w:rPr>
          <w:rFonts w:ascii="Arial" w:hAnsi="Arial"/>
          <w:b w:val="0"/>
          <w:i w:val="0"/>
          <w:sz w:val="21"/>
        </w:rPr>
        <w:t>Keep any contractor or cleaner evidence strictly factual: dates, place, what they personally observed, work planned, work prevented and records made at the time.</w:t>
      </w:r>
    </w:p>
    <w:p>
      <w:pPr>
        <w:pStyle w:val="ListNumber"/>
        <w:spacing w:after="60"/>
      </w:pPr>
      <w:r>
        <w:rPr>
          <w:rFonts w:ascii="Arial" w:hAnsi="Arial"/>
          <w:b w:val="0"/>
          <w:i w:val="0"/>
          <w:sz w:val="21"/>
        </w:rPr>
        <w:t>Update the access log and retain contemporaneous photographs, messages, job sheets and attendance records. Do not add allegations that cannot be evidenced.</w:t>
      </w:r>
    </w:p>
    <w:p>
      <w:pPr>
        <w:spacing w:before="200" w:after="80"/>
      </w:pPr>
      <w:r>
        <w:rPr>
          <w:rFonts w:ascii="Arial" w:hAnsi="Arial"/>
          <w:b/>
          <w:i w:val="0"/>
          <w:sz w:val="24"/>
        </w:rPr>
        <w:t>Pleading position</w:t>
      </w:r>
    </w:p>
    <w:p>
      <w:r>
        <w:rPr>
          <w:rFonts w:ascii="Arial" w:hAnsi="Arial"/>
          <w:b w:val="0"/>
          <w:i w:val="0"/>
          <w:sz w:val="21"/>
        </w:rPr>
        <w:t>Continue to frame the case around the alleged nuisance, hygiene/odour impact, common-parts impact and interference with people performing housing-management or safety work. Do not plead a breach of a management-company pet policy as the basis of possession. Any reference to cats should be limited to what a properly identified witness personally observed or what company records reliably record.</w:t>
      </w:r>
    </w:p>
    <w:p>
      <w:r>
        <w:rPr>
          <w:rFonts w:ascii="Arial" w:hAnsi="Arial"/>
          <w:b w:val="0"/>
          <w:i w:val="0"/>
          <w:sz w:val="21"/>
        </w:rPr>
        <w:t>The proposed current-form wording in the next document is deliberately qualified where the evidence is a report rather than a personal observation. It must be checked against the signed statements and originals before it is used.</w:t>
      </w:r>
    </w:p>
    <w:p>
      <w:pPr>
        <w:spacing w:before="200" w:after="80"/>
      </w:pPr>
      <w:r>
        <w:rPr>
          <w:rFonts w:ascii="Arial" w:hAnsi="Arial"/>
          <w:b/>
          <w:i w:val="0"/>
          <w:sz w:val="24"/>
        </w:rPr>
        <w:t>Official sources checked</w:t>
      </w:r>
    </w:p>
    <w:p>
      <w:pPr>
        <w:pStyle w:val="ListBullet"/>
        <w:spacing w:after="60"/>
      </w:pPr>
      <w:r>
        <w:rPr>
          <w:rFonts w:ascii="Arial" w:hAnsi="Arial"/>
          <w:b w:val="0"/>
          <w:i w:val="0"/>
          <w:sz w:val="21"/>
        </w:rPr>
        <w:t>GOV.UK, Repossessing your privately rented property after 1 May 2026 (updated 13 July 2026).</w:t>
      </w:r>
    </w:p>
    <w:p>
      <w:pPr>
        <w:pStyle w:val="ListBullet"/>
        <w:spacing w:after="60"/>
      </w:pPr>
      <w:r>
        <w:rPr>
          <w:rFonts w:ascii="Arial" w:hAnsi="Arial"/>
          <w:b w:val="0"/>
          <w:i w:val="0"/>
          <w:sz w:val="21"/>
        </w:rPr>
        <w:t>GOV.UK, Grounds for possession: guidance for landlords and letting agents (updated 1 May 2026).</w:t>
      </w:r>
    </w:p>
    <w:p>
      <w:pPr>
        <w:pStyle w:val="ListBullet"/>
        <w:spacing w:after="60"/>
      </w:pPr>
      <w:r>
        <w:rPr>
          <w:rFonts w:ascii="Arial" w:hAnsi="Arial"/>
          <w:b w:val="0"/>
          <w:i w:val="0"/>
          <w:sz w:val="21"/>
        </w:rPr>
        <w:t>HMCTS N5 England (05.26) and N119 England (05.26) pages, accessed 7 August 2026.</w:t>
      </w:r>
    </w:p>
    <w:p>
      <w:r>
        <w:rPr>
          <w:rFonts w:ascii="Arial" w:hAnsi="Arial"/>
          <w:b w:val="0"/>
          <w:i w:val="0"/>
          <w:sz w:val="21"/>
        </w:rPr>
        <w:t>This is a document-preparation and evidence update, not a substitute for independent legal advice on the merits, notice validity or court procedure.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sz w:val="16"/>
      </w:rPr>
      <w:t>Mumford possession pack - August 2026 update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