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sz w:val="32"/>
        </w:rPr>
        <w:t>Proposed particulars wording for current N5 and N119</w:t>
      </w:r>
    </w:p>
    <w:p>
      <w:pPr>
        <w:spacing w:after="240"/>
      </w:pPr>
      <w:r>
        <w:rPr>
          <w:rFonts w:ascii="Arial" w:hAnsi="Arial"/>
          <w:b w:val="0"/>
          <w:i/>
          <w:sz w:val="21"/>
        </w:rPr>
        <w:t>Draft only - verify against signed evidence before use</w:t>
      </w:r>
    </w:p>
    <w:p>
      <w:r>
        <w:rPr>
          <w:rFonts w:ascii="Arial" w:hAnsi="Arial"/>
          <w:b w:val="0"/>
          <w:i w:val="0"/>
          <w:sz w:val="21"/>
        </w:rPr>
        <w:t>Use this drafting note only with the current N5 England (05.26) and N119 England (05.26) forms in this update folder. It is not designed to be pasted into the earlier 10.20 forms.</w:t>
      </w:r>
    </w:p>
    <w:p>
      <w:pPr>
        <w:spacing w:before="200" w:after="80"/>
      </w:pPr>
      <w:r>
        <w:rPr>
          <w:rFonts w:ascii="Arial" w:hAnsi="Arial"/>
          <w:b/>
          <w:i w:val="0"/>
          <w:sz w:val="24"/>
        </w:rPr>
        <w:t>N5 England (05.26) - section 3</w:t>
      </w:r>
    </w:p>
    <w:p>
      <w:r>
        <w:rPr>
          <w:rFonts w:ascii="Arial" w:hAnsi="Arial"/>
          <w:b w:val="0"/>
          <w:i w:val="0"/>
          <w:sz w:val="21"/>
        </w:rPr>
        <w:t>Section 3.1: select the option that accurately identifies the statutory claim and specify: 'Housing Act 1988, Schedule 2, Grounds 13 and 14.'</w:t>
      </w:r>
    </w:p>
    <w:p>
      <w:r>
        <w:rPr>
          <w:rFonts w:ascii="Arial" w:hAnsi="Arial"/>
          <w:b w:val="0"/>
          <w:i w:val="0"/>
          <w:sz w:val="21"/>
        </w:rPr>
        <w:t>Section 3.2: answer 'Yes' to actual or threatened anti-social behaviour only if the claimants rely on the alleged nuisance/annoyance case set out below and have evidence supporting it.</w:t>
      </w:r>
    </w:p>
    <w:p>
      <w:r>
        <w:rPr>
          <w:rFonts w:ascii="Arial" w:hAnsi="Arial"/>
          <w:b w:val="0"/>
          <w:i w:val="0"/>
          <w:sz w:val="21"/>
        </w:rPr>
        <w:t>Other fields: complete from verified case information. The supplied documents do not establish every field required by the current form.</w:t>
      </w:r>
    </w:p>
    <w:p>
      <w:pPr>
        <w:spacing w:before="200" w:after="80"/>
      </w:pPr>
      <w:r>
        <w:rPr>
          <w:rFonts w:ascii="Arial" w:hAnsi="Arial"/>
          <w:b/>
          <w:i w:val="0"/>
          <w:sz w:val="24"/>
        </w:rPr>
        <w:t>N119 England (05.26) - section 4.1 details</w:t>
      </w:r>
    </w:p>
    <w:p>
      <w:r>
        <w:rPr>
          <w:rFonts w:ascii="Arial" w:hAnsi="Arial"/>
          <w:b w:val="0"/>
          <w:i w:val="0"/>
          <w:sz w:val="21"/>
        </w:rPr>
        <w:t>The Claimants rely primarily on Ground 14 and additionally on Ground 13 of Schedule 2 to the Housing Act 1988. The Claimants seek possession of Flat 7 Machin Mews, Standfast Road, Henbury, Bristol, BS10 7HJ.</w:t>
      </w:r>
    </w:p>
    <w:p>
      <w:r>
        <w:rPr>
          <w:rFonts w:ascii="Arial" w:hAnsi="Arial"/>
          <w:b w:val="0"/>
          <w:i w:val="0"/>
          <w:sz w:val="21"/>
        </w:rPr>
        <w:t>Ground 14 - alleged nuisance and impact on others. The Claimants' case is that conduct and conditions associated with the Defendant's occupation have caused, or are likely to cause, nuisance or annoyance to persons living in, visiting or otherwise lawfully engaging in activity in the locality, and to persons employed in connection with housing-management functions.</w:t>
      </w:r>
    </w:p>
    <w:p>
      <w:r>
        <w:rPr>
          <w:rFonts w:ascii="Arial" w:hAnsi="Arial"/>
          <w:b w:val="0"/>
          <w:i w:val="0"/>
          <w:sz w:val="21"/>
        </w:rPr>
        <w:t>On 3 August 2026, BNS Management Services emailed the Claimants about Flat 7. BNS reported that its engineers and cleaners were unable to work in the block because of an extreme smell of cat urine which BNS reported as originating from Flat 7. BNS further reported that an EICR had been outstanding since May, that Flat 7 is directly outside the electrical cupboard, and that the engineering team would not work in that area until the reported odour was controlled. BNS also reported complaints from other residents and material outside the flat said to be cat litter or waste. The Claimants will rely on the original email, BNS records and a signed BNS witness statement, together with any supporting contractor, cleaner and resident evidence.</w:t>
      </w:r>
    </w:p>
    <w:p>
      <w:r>
        <w:rPr>
          <w:rFonts w:ascii="Arial" w:hAnsi="Arial"/>
          <w:b w:val="0"/>
          <w:i w:val="0"/>
          <w:sz w:val="21"/>
        </w:rPr>
        <w:t>The Claimants do not rely on an alleged breach of any management-company pet policy as the basis of this claim. References to animals, odour, waste or fouling are relied on only insofar as they are supported by identified evidence and relate to the alleged nuisance, hygiene concerns, common-parts impact and interference with safety or housing-management activity.</w:t>
      </w:r>
    </w:p>
    <w:p>
      <w:r>
        <w:rPr>
          <w:rFonts w:ascii="Arial" w:hAnsi="Arial"/>
          <w:b w:val="0"/>
          <w:i w:val="0"/>
          <w:sz w:val="21"/>
        </w:rPr>
        <w:t>Ground 13 - alleged deterioration. The Claimants rely on Ground 13 only to the extent that signed evidence and dated photographs identify deterioration of the dwelling-house or relevant common parts, the alleged act, neglect or default causing it, and the relevant dates. The 3 August 2026 BNS email is not relied on alone to establish Ground 13.</w:t>
      </w:r>
    </w:p>
    <w:p>
      <w:r>
        <w:rPr>
          <w:rFonts w:ascii="Arial" w:hAnsi="Arial"/>
          <w:b w:val="0"/>
          <w:i w:val="0"/>
          <w:sz w:val="21"/>
        </w:rPr>
        <w:t>The Claimants will rely on the tenancy agreement, the served Form 3A and service evidence, BNS correspondence and records, contractor/cleaner evidence, the completed access log, dated photographs, and relevant safety/compliance records.</w:t>
      </w:r>
    </w:p>
    <w:p>
      <w:pPr>
        <w:spacing w:before="200" w:after="80"/>
      </w:pPr>
      <w:r>
        <w:rPr>
          <w:rFonts w:ascii="Arial" w:hAnsi="Arial"/>
          <w:b/>
          <w:i w:val="0"/>
          <w:sz w:val="24"/>
        </w:rPr>
        <w:t>N119 England (05.26) - section 8.1</w:t>
      </w:r>
    </w:p>
    <w:p>
      <w:r>
        <w:rPr>
          <w:rFonts w:ascii="Arial" w:hAnsi="Arial"/>
          <w:b w:val="0"/>
          <w:i w:val="0"/>
          <w:sz w:val="21"/>
        </w:rPr>
        <w:t>The Court is asked to consider the alleged effect on neighbouring occupiers, visitors, cleaners, engineers and the block's safety/compliance work; the contemporaneous management-company, contractor and resident evidence; and the reported continuing nature of the issue. The Claimants do not invite the Court to treat unverified hearsay as a substitute for signed witness evidence.</w:t>
      </w:r>
    </w:p>
    <w:p>
      <w:pPr>
        <w:spacing w:before="200" w:after="80"/>
      </w:pPr>
      <w:r>
        <w:rPr>
          <w:rFonts w:ascii="Arial" w:hAnsi="Arial"/>
          <w:b/>
          <w:i w:val="0"/>
          <w:sz w:val="24"/>
        </w:rPr>
        <w:t>Before signing</w:t>
      </w:r>
    </w:p>
    <w:p>
      <w:pPr>
        <w:pStyle w:val="ListBullet"/>
        <w:spacing w:after="60"/>
      </w:pPr>
      <w:r>
        <w:rPr>
          <w:rFonts w:ascii="Arial" w:hAnsi="Arial"/>
          <w:b w:val="0"/>
          <w:i w:val="0"/>
          <w:sz w:val="21"/>
        </w:rPr>
        <w:t>Match every factual allegation to a document, a direct witness observation or a company record that can be exhibited.</w:t>
      </w:r>
    </w:p>
    <w:p>
      <w:pPr>
        <w:pStyle w:val="ListBullet"/>
        <w:spacing w:after="60"/>
      </w:pPr>
      <w:r>
        <w:rPr>
          <w:rFonts w:ascii="Arial" w:hAnsi="Arial"/>
          <w:b w:val="0"/>
          <w:i w:val="0"/>
          <w:sz w:val="21"/>
        </w:rPr>
        <w:t>Check the notice wording, service method and date against the Form 3A actually served.</w:t>
      </w:r>
    </w:p>
    <w:p>
      <w:pPr>
        <w:pStyle w:val="ListBullet"/>
        <w:spacing w:after="60"/>
      </w:pPr>
      <w:r>
        <w:rPr>
          <w:rFonts w:ascii="Arial" w:hAnsi="Arial"/>
          <w:b w:val="0"/>
          <w:i w:val="0"/>
          <w:sz w:val="21"/>
        </w:rPr>
        <w:t>Check deposit requirements and any applicable exception before relying on Ground 13 as well as Ground 14.</w:t>
      </w:r>
    </w:p>
    <w:p>
      <w:pPr>
        <w:pStyle w:val="ListBullet"/>
        <w:spacing w:after="60"/>
      </w:pPr>
      <w:r>
        <w:rPr>
          <w:rFonts w:ascii="Arial" w:hAnsi="Arial"/>
          <w:b w:val="0"/>
          <w:i w:val="0"/>
          <w:sz w:val="21"/>
        </w:rPr>
        <w:t>Delete any paragraph not supported by the final evidence bundle.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sz w:val="16"/>
      </w:rPr>
      <w:t>Mumford possession pack - August 2026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