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/>
          <w:b/>
          <w:i w:val="0"/>
          <w:sz w:val="32"/>
        </w:rPr>
        <w:t>Draft reply to William Mumford</w:t>
      </w:r>
    </w:p>
    <w:p>
      <w:pPr>
        <w:spacing w:after="240"/>
      </w:pPr>
      <w:r>
        <w:rPr>
          <w:rFonts w:ascii="Arial" w:hAnsi="Arial"/>
          <w:b w:val="0"/>
          <w:i/>
          <w:sz w:val="21"/>
        </w:rPr>
        <w:t>For review before sending</w:t>
      </w:r>
    </w:p>
    <w:p>
      <w:r>
        <w:rPr>
          <w:rFonts w:ascii="Arial" w:hAnsi="Arial"/>
          <w:b w:val="0"/>
          <w:i w:val="0"/>
          <w:sz w:val="21"/>
        </w:rPr>
        <w:t>Dear Will,</w:t>
      </w:r>
    </w:p>
    <w:p>
      <w:r>
        <w:rPr>
          <w:rFonts w:ascii="Arial" w:hAnsi="Arial"/>
          <w:b w:val="0"/>
          <w:i w:val="0"/>
          <w:sz w:val="21"/>
        </w:rPr>
        <w:t>Thank you for sending this through. The BNS email is useful additional evidence. It supports the existing nuisance/antisocial-behaviour case because it records a reported ongoing odour and hygiene issue, complaints from residents, and an alleged impact on engineers, cleaners and the outstanding EICR work.</w:t>
      </w:r>
    </w:p>
    <w:p>
      <w:r>
        <w:rPr>
          <w:rFonts w:ascii="Arial" w:hAnsi="Arial"/>
          <w:b w:val="0"/>
          <w:i w:val="0"/>
          <w:sz w:val="21"/>
        </w:rPr>
        <w:t>It is not, on its own, conclusive proof. The strongest way to use it is to obtain the original email chain, a signed BNS witness statement and the underlying EICR, contractor, cleaning and complaint records. The resident screenshot can also help, but we need the author to confirm it in a signed statement and provide the original message and date.</w:t>
      </w:r>
    </w:p>
    <w:p>
      <w:r>
        <w:rPr>
          <w:rFonts w:ascii="Arial" w:hAnsi="Arial"/>
          <w:b w:val="0"/>
          <w:i w:val="0"/>
          <w:sz w:val="21"/>
        </w:rPr>
        <w:t>I would not base the case on a management-company pet-policy breach. The case should remain focused on the alleged nuisance, hygiene/common-parts impact and the reported effect on neighbours and safety/compliance work. The new email is primarily relevant to Ground 14; it does not by itself establish Ground 13.</w:t>
      </w:r>
    </w:p>
    <w:p>
      <w:r>
        <w:rPr>
          <w:rFonts w:ascii="Arial" w:hAnsi="Arial"/>
          <w:b w:val="0"/>
          <w:i w:val="0"/>
          <w:sz w:val="21"/>
        </w:rPr>
        <w:t>Before issuing, the court paperwork must be updated. The Form 3A in the pack is the current 05.26 version, but the draft N5 and N119 are older 10.20 forms. I have added the current blank forms and proposed wording for final completion and review. We should not issue the older drafts.</w:t>
      </w:r>
    </w:p>
    <w:p>
      <w:r>
        <w:rPr>
          <w:rFonts w:ascii="Arial" w:hAnsi="Arial"/>
          <w:b w:val="0"/>
          <w:i w:val="0"/>
          <w:sz w:val="21"/>
        </w:rPr>
        <w:t>Once the supporting witness material and records are obtained and the current forms are completed against the final evidence, the claim will be in a materially better evidential position. As Ground 14 is discretionary, the court will still decide whether possession is reasonable on all the evidence.</w:t>
      </w:r>
    </w:p>
    <w:p>
      <w:r>
        <w:rPr>
          <w:rFonts w:ascii="Arial" w:hAnsi="Arial"/>
          <w:b w:val="0"/>
          <w:i w:val="0"/>
          <w:sz w:val="21"/>
        </w:rPr>
        <w:t>Kind regards,</w:t>
      </w:r>
    </w:p>
    <w:p>
      <w:r>
        <w:rPr>
          <w:rFonts w:ascii="Arial" w:hAnsi="Arial"/>
          <w:b w:val="0"/>
          <w:i w:val="0"/>
          <w:sz w:val="21"/>
        </w:rPr>
        <w:t>Tariq</w:t>
      </w:r>
    </w:p>
    <w:sectPr w:rsidR="00FC693F" w:rsidRPr="0006063C" w:rsidSect="00034616">
      <w:footerReference w:type="default" r:id="rId9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/>
        <w:sz w:val="16"/>
      </w:rPr>
      <w:t>Mumford possession pack - August 2026 update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