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b/>
          <w:bCs/>
          <w:sz w:val="40"/>
          <w:szCs w:val="40"/>
        </w:rPr>
      </w:pPr>
      <w:bookmarkStart w:id="0" w:name="compound第62提案升级导致奖励分发过多"/>
      <w:r>
        <w:rPr>
          <w:b/>
          <w:bCs/>
          <w:sz w:val="40"/>
          <w:szCs w:val="40"/>
        </w:rPr>
        <w:t>compound第62提案升级导致奖励分发过多</w:t>
      </w:r>
    </w:p>
    <w:p>
      <w:pPr>
        <w:pStyle w:val="34"/>
      </w:pPr>
      <w:r>
        <w:drawing>
          <wp:inline distT="0" distB="0" distL="114300" distR="114300">
            <wp:extent cx="5334000" cy="18827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a:xfrm>
                      <a:off x="0" y="0"/>
                      <a:ext cx="5334000" cy="1882931"/>
                    </a:xfrm>
                    <a:prstGeom prst="rect">
                      <a:avLst/>
                    </a:prstGeom>
                    <a:noFill/>
                    <a:ln w="9525">
                      <a:noFill/>
                    </a:ln>
                  </pic:spPr>
                </pic:pic>
              </a:graphicData>
            </a:graphic>
          </wp:inline>
        </w:drawing>
      </w:r>
    </w:p>
    <w:p>
      <w:pPr>
        <w:pStyle w:val="32"/>
      </w:pPr>
    </w:p>
    <w:p>
      <w:pPr>
        <w:pStyle w:val="34"/>
      </w:pPr>
      <w:r>
        <w:drawing>
          <wp:inline distT="0" distB="0" distL="114300" distR="114300">
            <wp:extent cx="5334000" cy="329501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stretch>
                      <a:fillRect/>
                    </a:stretch>
                  </pic:blipFill>
                  <pic:spPr>
                    <a:xfrm>
                      <a:off x="0" y="0"/>
                      <a:ext cx="5334000" cy="3295035"/>
                    </a:xfrm>
                    <a:prstGeom prst="rect">
                      <a:avLst/>
                    </a:prstGeom>
                    <a:noFill/>
                    <a:ln w="9525">
                      <a:noFill/>
                    </a:ln>
                  </pic:spPr>
                </pic:pic>
              </a:graphicData>
            </a:graphic>
          </wp:inline>
        </w:drawing>
      </w:r>
    </w:p>
    <w:p>
      <w:pPr>
        <w:pStyle w:val="32"/>
      </w:pPr>
    </w:p>
    <w:p>
      <w:pPr>
        <w:pStyle w:val="3"/>
      </w:pPr>
      <w:r>
        <w:t>Compound创始人表示：该漏洞是由于Compound的62次提案升级所导致。</w:t>
      </w:r>
    </w:p>
    <w:p>
      <w:pPr>
        <w:pStyle w:val="3"/>
      </w:pPr>
      <w:r>
        <w:rPr>
          <w:rFonts w:hint="eastAsia" w:eastAsia="宋体"/>
          <w:lang w:val="en-US" w:eastAsia="zh-CN"/>
        </w:rPr>
        <w:t>[</w:t>
      </w:r>
      <w:r>
        <w:rPr>
          <w:rFonts w:hint="eastAsia"/>
        </w:rPr>
        <w:t>Technical</w:t>
      </w:r>
      <w:r>
        <w:rPr>
          <w:rFonts w:hint="eastAsia" w:eastAsia="宋体"/>
          <w:lang w:val="en-US" w:eastAsia="zh-CN"/>
        </w:rPr>
        <w:t xml:space="preserve">] </w:t>
      </w:r>
      <w:r>
        <w:rPr>
          <w:rFonts w:hint="eastAsia"/>
        </w:rPr>
        <w:t> https://compound.finance/governance/proposals/62 </w:t>
      </w:r>
    </w:p>
    <w:p>
      <w:pPr>
        <w:numPr>
          <w:ilvl w:val="0"/>
          <w:numId w:val="1"/>
        </w:numPr>
      </w:pPr>
      <w:r>
        <w:rPr>
          <w:rStyle w:val="35"/>
        </w:rPr>
        <w:t>Comptroller#compSpeeds</w:t>
      </w:r>
      <w:r>
        <w:t xml:space="preserve"> storage variable is no longer being used and has been effectively deleted. It's replaced by </w:t>
      </w:r>
      <w:r>
        <w:rPr>
          <w:rStyle w:val="35"/>
        </w:rPr>
        <w:t>Comptroller#compBorrowSpeeds</w:t>
      </w:r>
      <w:r>
        <w:t xml:space="preserve"> and </w:t>
      </w:r>
      <w:r>
        <w:rPr>
          <w:rStyle w:val="35"/>
        </w:rPr>
        <w:t>Comptroller#compSupplySpeeds</w:t>
      </w:r>
      <w:r>
        <w:t>. This proposal copies the current rates into the new storage variables.</w:t>
      </w:r>
    </w:p>
    <w:p>
      <w:pPr>
        <w:numPr>
          <w:ilvl w:val="0"/>
          <w:numId w:val="1"/>
        </w:numPr>
      </w:pPr>
      <w:r>
        <w:rPr>
          <w:rStyle w:val="35"/>
        </w:rPr>
        <w:t>Comptroller#_setCompSpeed(CToken,uint256)</w:t>
      </w:r>
      <w:r>
        <w:t xml:space="preserve"> function has been removed and replaced by </w:t>
      </w:r>
      <w:r>
        <w:rPr>
          <w:rStyle w:val="35"/>
        </w:rPr>
        <w:t>Comptroller#_setCompSpeeds(CToken[],uint256[],uint256[])</w:t>
      </w:r>
      <w:r>
        <w:t>. This new function allows COMP rewards rates for multiple markets to be set with a single call.</w:t>
      </w:r>
    </w:p>
    <w:p>
      <w:pPr>
        <w:numPr>
          <w:ilvl w:val="0"/>
          <w:numId w:val="1"/>
        </w:numPr>
      </w:pPr>
      <w:r>
        <w:t>An upgrade hook initializes all non-initialized market state indices (initial index is 1e36).</w:t>
      </w:r>
    </w:p>
    <w:p>
      <w:pPr>
        <w:numPr>
          <w:ilvl w:val="0"/>
          <w:numId w:val="1"/>
        </w:numPr>
      </w:pPr>
      <w:r>
        <w:t>When new markets are added, their state indices are now properly initialized (used to use lazy initialization which caused many problems).</w:t>
      </w:r>
    </w:p>
    <w:p>
      <w:pPr>
        <w:pStyle w:val="6"/>
        <w:numPr>
          <w:ilvl w:val="0"/>
          <w:numId w:val="0"/>
        </w:numPr>
        <w:ind w:left="240" w:leftChars="0"/>
        <w:rPr>
          <w:b/>
          <w:bCs w:val="0"/>
          <w:i w:val="0"/>
          <w:iCs/>
          <w:color w:val="auto"/>
        </w:rPr>
      </w:pPr>
      <w:bookmarkStart w:id="1" w:name="升级主要做了以下改变"/>
      <w:r>
        <w:rPr>
          <w:b/>
          <w:bCs w:val="0"/>
          <w:i w:val="0"/>
          <w:iCs/>
          <w:color w:val="auto"/>
        </w:rPr>
        <w:t>升级主要做了以下改变：</w:t>
      </w:r>
      <w:bookmarkEnd w:id="1"/>
    </w:p>
    <w:p>
      <w:pPr>
        <w:numPr>
          <w:ilvl w:val="0"/>
          <w:numId w:val="2"/>
        </w:numPr>
      </w:pPr>
      <w:r>
        <w:t xml:space="preserve">1.使用 </w:t>
      </w:r>
      <w:r>
        <w:rPr>
          <w:rStyle w:val="35"/>
        </w:rPr>
        <w:t>Comptroller#compBorrowSpeeds</w:t>
      </w:r>
      <w:r>
        <w:t xml:space="preserve"> 和</w:t>
      </w:r>
      <w:r>
        <w:rPr>
          <w:rStyle w:val="35"/>
        </w:rPr>
        <w:t>Comptroller#compSupplySpeeds</w:t>
      </w:r>
      <w:r>
        <w:t>来代替</w:t>
      </w:r>
      <w:r>
        <w:rPr>
          <w:rStyle w:val="35"/>
        </w:rPr>
        <w:t>Comptroller#compSpeeds</w:t>
      </w:r>
      <w:r>
        <w:t>storage类型变量；</w:t>
      </w:r>
    </w:p>
    <w:p>
      <w:pPr>
        <w:numPr>
          <w:ilvl w:val="0"/>
          <w:numId w:val="2"/>
        </w:numPr>
      </w:pPr>
      <w:r>
        <w:t>2.</w:t>
      </w:r>
      <w:r>
        <w:rPr>
          <w:rStyle w:val="35"/>
        </w:rPr>
        <w:t>Comptroller#_setCompSpeeds(CToken[],uint256[],uint256[])</w:t>
      </w:r>
      <w:r>
        <w:t>来对</w:t>
      </w:r>
      <w:r>
        <w:rPr>
          <w:rStyle w:val="35"/>
        </w:rPr>
        <w:t>Comptroller#_setCompSpeed(CToken,uint256)</w:t>
      </w:r>
      <w:r>
        <w:t xml:space="preserve"> 进行升级；</w:t>
      </w:r>
    </w:p>
    <w:p>
      <w:pPr>
        <w:numPr>
          <w:ilvl w:val="0"/>
          <w:numId w:val="2"/>
        </w:numPr>
      </w:pPr>
      <w:r>
        <w:t>3.</w:t>
      </w:r>
      <w:r>
        <w:rPr>
          <w:b/>
          <w:bCs/>
          <w:i/>
          <w:iCs/>
        </w:rPr>
        <w:t>设定所有新增的初始化的市场状态指数（initial index is 1e36）</w:t>
      </w:r>
      <w:r>
        <w:t>；</w:t>
      </w:r>
    </w:p>
    <w:p>
      <w:pPr>
        <w:pStyle w:val="7"/>
        <w:numPr>
          <w:ilvl w:val="0"/>
          <w:numId w:val="0"/>
        </w:numPr>
        <w:ind w:left="240" w:leftChars="0" w:firstLine="480" w:firstLineChars="200"/>
        <w:rPr>
          <w:rFonts w:hint="eastAsia" w:ascii="宋体" w:hAnsi="宋体" w:eastAsia="宋体" w:cs="宋体"/>
          <w:color w:val="auto"/>
        </w:rPr>
      </w:pPr>
      <w:bookmarkStart w:id="2" w:name="Xe3985b272c31f6333ea75e35af7babc2543236a"/>
      <w:r>
        <w:rPr>
          <w:rFonts w:hint="eastAsia" w:ascii="宋体" w:hAnsi="宋体" w:eastAsia="宋体" w:cs="宋体"/>
          <w:color w:val="auto"/>
        </w:rPr>
        <w:t>原本设定所有未初始化的市场状态指数是为了解决惰性初始化导致的许多其他问题，来解决之前存在的整数溢出漏洞，但是并没有全面考虑到如此的升级对原本的功能的影响！</w:t>
      </w:r>
      <w:bookmarkEnd w:id="2"/>
    </w:p>
    <w:p>
      <w:pPr>
        <w:pStyle w:val="34"/>
        <w:numPr>
          <w:ilvl w:val="0"/>
          <w:numId w:val="2"/>
        </w:numPr>
      </w:pPr>
      <w:r>
        <w:drawing>
          <wp:inline distT="0" distB="0" distL="114300" distR="114300">
            <wp:extent cx="5334000" cy="1471295"/>
            <wp:effectExtent l="0" t="0" r="0" b="1460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a:stretch>
                      <a:fillRect/>
                    </a:stretch>
                  </pic:blipFill>
                  <pic:spPr>
                    <a:xfrm>
                      <a:off x="0" y="0"/>
                      <a:ext cx="5334000" cy="1471448"/>
                    </a:xfrm>
                    <a:prstGeom prst="rect">
                      <a:avLst/>
                    </a:prstGeom>
                    <a:noFill/>
                    <a:ln w="9525">
                      <a:noFill/>
                    </a:ln>
                  </pic:spPr>
                </pic:pic>
              </a:graphicData>
            </a:graphic>
          </wp:inline>
        </w:drawing>
      </w:r>
    </w:p>
    <w:p>
      <w:pPr>
        <w:pStyle w:val="7"/>
        <w:numPr>
          <w:ilvl w:val="0"/>
          <w:numId w:val="0"/>
        </w:numPr>
        <w:ind w:firstLine="480" w:firstLineChars="200"/>
        <w:rPr>
          <w:rFonts w:hint="eastAsia" w:ascii="宋体" w:hAnsi="宋体" w:eastAsia="宋体" w:cs="宋体"/>
          <w:color w:val="auto"/>
          <w:lang w:val="en-US" w:eastAsia="zh-CN"/>
        </w:rPr>
      </w:pPr>
      <w:bookmarkStart w:id="3" w:name="X669b1a2f9495e82dec3d096e90988fbf7e5bab3"/>
      <w:r>
        <w:rPr>
          <w:rFonts w:hint="eastAsia" w:ascii="宋体" w:hAnsi="宋体" w:eastAsia="宋体" w:cs="宋体"/>
          <w:color w:val="auto"/>
        </w:rPr>
        <w:t>该漏洞产生的条件：需要在62次提案更新之前与某些特定代币（cSAI、cTUSD、cMKR、cSUSHI、cAAVE、cYFI）进行存款或借款，并留有一定的余额，就可以获得大量的comp收益奖励。</w:t>
      </w:r>
      <w:bookmarkEnd w:id="3"/>
      <w:r>
        <w:rPr>
          <w:rFonts w:hint="eastAsia" w:ascii="宋体" w:hAnsi="宋体" w:eastAsia="宋体" w:cs="宋体"/>
          <w:color w:val="auto"/>
          <w:lang w:val="en-US" w:eastAsia="zh-CN"/>
        </w:rPr>
        <w:t xml:space="preserve"> </w:t>
      </w:r>
    </w:p>
    <w:p>
      <w:pPr>
        <w:pStyle w:val="7"/>
        <w:numPr>
          <w:ilvl w:val="0"/>
          <w:numId w:val="0"/>
        </w:numPr>
        <w:ind w:firstLine="480" w:firstLineChars="200"/>
        <w:rPr>
          <w:rFonts w:hint="eastAsia" w:ascii="宋体" w:hAnsi="宋体" w:eastAsia="宋体" w:cs="宋体"/>
          <w:color w:val="auto"/>
        </w:rPr>
      </w:pPr>
      <w:r>
        <w:rPr>
          <w:rFonts w:hint="eastAsia" w:ascii="宋体" w:hAnsi="宋体" w:eastAsia="宋体" w:cs="宋体"/>
          <w:color w:val="auto"/>
        </w:rPr>
        <w:t>我们</w:t>
      </w:r>
      <w:r>
        <w:rPr>
          <w:rFonts w:hint="eastAsia" w:ascii="宋体" w:hAnsi="宋体" w:eastAsia="宋体" w:cs="宋体"/>
          <w:color w:val="auto"/>
          <w:lang w:val="en-US" w:eastAsia="zh-CN"/>
        </w:rPr>
        <w:t>以</w:t>
      </w:r>
      <w:bookmarkStart w:id="6" w:name="_GoBack"/>
      <w:bookmarkEnd w:id="6"/>
      <w:r>
        <w:rPr>
          <w:rFonts w:hint="eastAsia" w:ascii="宋体" w:hAnsi="宋体" w:eastAsia="宋体" w:cs="宋体"/>
          <w:color w:val="auto"/>
        </w:rPr>
        <w:t>其中一个交易为例进行分析：</w:t>
      </w:r>
      <w:r>
        <w:rPr>
          <w:rFonts w:hint="eastAsia" w:ascii="宋体" w:hAnsi="宋体" w:eastAsia="宋体" w:cs="宋体"/>
          <w:color w:val="auto"/>
        </w:rPr>
        <w:fldChar w:fldCharType="begin"/>
      </w:r>
      <w:r>
        <w:rPr>
          <w:rFonts w:hint="eastAsia" w:ascii="宋体" w:hAnsi="宋体" w:eastAsia="宋体" w:cs="宋体"/>
          <w:color w:val="auto"/>
        </w:rPr>
        <w:instrText xml:space="preserve"> HYPERLINK "https://etherscan.io/tx/0xee318650ae8bcf83517e77e8654d40201990080fcb888087f737aea28e70bdb1" \h </w:instrText>
      </w:r>
      <w:r>
        <w:rPr>
          <w:rFonts w:hint="eastAsia" w:ascii="宋体" w:hAnsi="宋体" w:eastAsia="宋体" w:cs="宋体"/>
          <w:color w:val="auto"/>
        </w:rPr>
        <w:fldChar w:fldCharType="separate"/>
      </w:r>
      <w:r>
        <w:rPr>
          <w:rFonts w:hint="eastAsia" w:ascii="宋体" w:hAnsi="宋体" w:eastAsia="宋体" w:cs="宋体"/>
          <w:color w:val="auto"/>
        </w:rPr>
        <w:t>https://etherscan.io/tx/0xee318650ae8bcf83517e77e8654d40201990080fcb888087f737aea28e70bdb1</w:t>
      </w:r>
      <w:r>
        <w:rPr>
          <w:rFonts w:hint="eastAsia" w:ascii="宋体" w:hAnsi="宋体" w:eastAsia="宋体" w:cs="宋体"/>
          <w:color w:val="auto"/>
        </w:rPr>
        <w:fldChar w:fldCharType="end"/>
      </w:r>
    </w:p>
    <w:p>
      <w:pPr>
        <w:pStyle w:val="34"/>
        <w:numPr>
          <w:ilvl w:val="0"/>
          <w:numId w:val="2"/>
        </w:numPr>
      </w:pPr>
      <w:r>
        <w:drawing>
          <wp:inline distT="0" distB="0" distL="114300" distR="114300">
            <wp:extent cx="5334000" cy="30162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a:xfrm>
                      <a:off x="0" y="0"/>
                      <a:ext cx="5334000" cy="3016707"/>
                    </a:xfrm>
                    <a:prstGeom prst="rect">
                      <a:avLst/>
                    </a:prstGeom>
                    <a:noFill/>
                    <a:ln w="9525">
                      <a:noFill/>
                    </a:ln>
                  </pic:spPr>
                </pic:pic>
              </a:graphicData>
            </a:graphic>
          </wp:inline>
        </w:drawing>
      </w:r>
    </w:p>
    <w:p>
      <w:pPr>
        <w:numPr>
          <w:ilvl w:val="0"/>
          <w:numId w:val="0"/>
        </w:numPr>
        <w:ind w:firstLine="480" w:firstLineChars="200"/>
      </w:pPr>
      <w:r>
        <w:t>获利者地址为（0xab5a193a11f779fe105e8edf9815a0b514b013ca），通过claimCmop函数来提取收益，但是却获得了22,995.930896459946832819 枚comp的收益，这个数字远远大于应获得的收益。</w:t>
      </w:r>
    </w:p>
    <w:p>
      <w:pPr>
        <w:pStyle w:val="34"/>
        <w:numPr>
          <w:ilvl w:val="0"/>
          <w:numId w:val="2"/>
        </w:numPr>
      </w:pPr>
      <w:r>
        <w:drawing>
          <wp:inline distT="0" distB="0" distL="114300" distR="114300">
            <wp:extent cx="5334000" cy="101346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9"/>
                    <a:stretch>
                      <a:fillRect/>
                    </a:stretch>
                  </pic:blipFill>
                  <pic:spPr>
                    <a:xfrm>
                      <a:off x="0" y="0"/>
                      <a:ext cx="5334000" cy="1013838"/>
                    </a:xfrm>
                    <a:prstGeom prst="rect">
                      <a:avLst/>
                    </a:prstGeom>
                    <a:noFill/>
                    <a:ln w="9525">
                      <a:noFill/>
                    </a:ln>
                  </pic:spPr>
                </pic:pic>
              </a:graphicData>
            </a:graphic>
          </wp:inline>
        </w:drawing>
      </w:r>
    </w:p>
    <w:p>
      <w:pPr>
        <w:numPr>
          <w:ilvl w:val="0"/>
          <w:numId w:val="0"/>
        </w:numPr>
        <w:ind w:firstLine="480" w:firstLineChars="200"/>
      </w:pPr>
      <w:r>
        <w:t>通过交易追踪发现，该获利者在领取借贷代币（cUSDT）的奖励时，获得了大量的comp代币（ 22,995.425435193061317525枚）。</w:t>
      </w:r>
    </w:p>
    <w:p>
      <w:pPr>
        <w:pStyle w:val="34"/>
        <w:numPr>
          <w:ilvl w:val="0"/>
          <w:numId w:val="2"/>
        </w:numPr>
      </w:pPr>
      <w:r>
        <w:drawing>
          <wp:inline distT="0" distB="0" distL="114300" distR="114300">
            <wp:extent cx="5334000" cy="294195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0"/>
                    <a:stretch>
                      <a:fillRect/>
                    </a:stretch>
                  </pic:blipFill>
                  <pic:spPr>
                    <a:xfrm>
                      <a:off x="0" y="0"/>
                      <a:ext cx="5334000" cy="2942454"/>
                    </a:xfrm>
                    <a:prstGeom prst="rect">
                      <a:avLst/>
                    </a:prstGeom>
                    <a:noFill/>
                    <a:ln w="9525">
                      <a:noFill/>
                    </a:ln>
                  </pic:spPr>
                </pic:pic>
              </a:graphicData>
            </a:graphic>
          </wp:inline>
        </w:drawing>
      </w:r>
    </w:p>
    <w:p>
      <w:pPr>
        <w:numPr>
          <w:ilvl w:val="0"/>
          <w:numId w:val="0"/>
        </w:numPr>
        <w:ind w:firstLine="480" w:firstLineChars="200"/>
      </w:pPr>
      <w:r>
        <w:t>用户借贷comp奖励的公式为：borrowerAmount * deltaIndex（即：借款数量*奖励因子）。deltaIndex = borrowIndex - borrowerIndex（奖励因子 = 池借贷指数 - 用户借贷指数），由于第62次提案的升级，cUSDT池借贷指数被初始化为 compInitialIndex （1e36），而此时用户的借贷指数为0，导致算出的奖励因子deltaIndex非常大为1e36。合约正常逻辑应该先通过if (borrowerIndex == 0 &amp;&amp; borrowIndex &gt; = compInitialIndex) 该分支的判断，使用户的借贷指数进行更新为compInitialIndex（1e36），才可以进行奖励的计算！此处由于 borrowIndex &gt; compInitialIndex（缺少等号） 导致绕过该判断，直接进行奖励计算，导致奖励因子计算出的值非常的大。</w:t>
      </w:r>
    </w:p>
    <w:p>
      <w:pPr>
        <w:pStyle w:val="34"/>
        <w:numPr>
          <w:ilvl w:val="0"/>
          <w:numId w:val="2"/>
        </w:numPr>
      </w:pPr>
      <w:r>
        <w:drawing>
          <wp:inline distT="0" distB="0" distL="114300" distR="114300">
            <wp:extent cx="5334000" cy="301561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1"/>
                    <a:stretch>
                      <a:fillRect/>
                    </a:stretch>
                  </pic:blipFill>
                  <pic:spPr>
                    <a:xfrm>
                      <a:off x="0" y="0"/>
                      <a:ext cx="5334000" cy="3015867"/>
                    </a:xfrm>
                    <a:prstGeom prst="rect">
                      <a:avLst/>
                    </a:prstGeom>
                    <a:noFill/>
                    <a:ln w="9525">
                      <a:noFill/>
                    </a:ln>
                  </pic:spPr>
                </pic:pic>
              </a:graphicData>
            </a:graphic>
          </wp:inline>
        </w:drawing>
      </w:r>
    </w:p>
    <w:p>
      <w:pPr>
        <w:pStyle w:val="34"/>
        <w:numPr>
          <w:ilvl w:val="0"/>
          <w:numId w:val="2"/>
        </w:numPr>
      </w:pPr>
      <w:r>
        <w:drawing>
          <wp:inline distT="0" distB="0" distL="114300" distR="114300">
            <wp:extent cx="5334000" cy="157289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2"/>
                    <a:stretch>
                      <a:fillRect/>
                    </a:stretch>
                  </pic:blipFill>
                  <pic:spPr>
                    <a:xfrm>
                      <a:off x="0" y="0"/>
                      <a:ext cx="5334000" cy="1573394"/>
                    </a:xfrm>
                    <a:prstGeom prst="rect">
                      <a:avLst/>
                    </a:prstGeom>
                    <a:noFill/>
                    <a:ln w="9525">
                      <a:noFill/>
                    </a:ln>
                  </pic:spPr>
                </pic:pic>
              </a:graphicData>
            </a:graphic>
          </wp:inline>
        </w:drawing>
      </w:r>
    </w:p>
    <w:p>
      <w:pPr>
        <w:numPr>
          <w:ilvl w:val="0"/>
          <w:numId w:val="0"/>
        </w:numPr>
        <w:ind w:firstLine="480" w:firstLineChars="200"/>
        <w:rPr>
          <w:rFonts w:hint="eastAsia" w:ascii="宋体" w:hAnsi="宋体" w:eastAsia="宋体" w:cs="宋体"/>
          <w:color w:val="auto"/>
        </w:rPr>
      </w:pPr>
      <w:r>
        <w:t>该用户在62次更新之前的一笔cUSDT的借款，为其带来了22,995枚comp的”收益“。</w:t>
      </w:r>
      <w:bookmarkStart w:id="4" w:name="X3a6218bd3d670ad5641b56929ed3ee87a4c8ba7"/>
      <w:r>
        <w:rPr>
          <w:rFonts w:hint="eastAsia" w:ascii="宋体" w:hAnsi="宋体" w:eastAsia="宋体" w:cs="宋体"/>
          <w:color w:val="auto"/>
        </w:rPr>
        <w:t>因此该漏洞并不是任何人都可以获利，需要在62次提案更新之前与某些特定代币进行存款或借款，并留有一定的余额，就可以获得大量的comp收益奖励。</w:t>
      </w:r>
      <w:bookmarkEnd w:id="4"/>
    </w:p>
    <w:p>
      <w:pPr>
        <w:pStyle w:val="34"/>
        <w:numPr>
          <w:ilvl w:val="0"/>
          <w:numId w:val="2"/>
        </w:numPr>
      </w:pPr>
      <w:r>
        <w:drawing>
          <wp:inline distT="0" distB="0" distL="114300" distR="114300">
            <wp:extent cx="5334000" cy="532701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3"/>
                    <a:stretch>
                      <a:fillRect/>
                    </a:stretch>
                  </pic:blipFill>
                  <pic:spPr>
                    <a:xfrm>
                      <a:off x="0" y="0"/>
                      <a:ext cx="5334000" cy="5327365"/>
                    </a:xfrm>
                    <a:prstGeom prst="rect">
                      <a:avLst/>
                    </a:prstGeom>
                    <a:noFill/>
                    <a:ln w="9525">
                      <a:noFill/>
                    </a:ln>
                  </pic:spPr>
                </pic:pic>
              </a:graphicData>
            </a:graphic>
          </wp:inline>
        </w:drawing>
      </w:r>
    </w:p>
    <w:p>
      <w:pPr>
        <w:pStyle w:val="34"/>
        <w:numPr>
          <w:ilvl w:val="0"/>
          <w:numId w:val="0"/>
        </w:numPr>
        <w:ind w:left="240" w:leftChars="0" w:firstLine="480" w:firstLineChars="200"/>
      </w:pPr>
      <w:r>
        <w:t>通过更新提案可知，这些特定代币为cTUSD、cAAVE、cSAI、cSUSHI、cMKR、cYFI这6种代币，其池借贷指数和存款指数均被初始化为1e36！</w:t>
      </w:r>
    </w:p>
    <w:p>
      <w:pPr>
        <w:pStyle w:val="7"/>
        <w:numPr>
          <w:ilvl w:val="0"/>
          <w:numId w:val="0"/>
        </w:numPr>
        <w:ind w:left="240" w:leftChars="0"/>
        <w:rPr>
          <w:b/>
          <w:bCs/>
          <w:color w:val="auto"/>
        </w:rPr>
      </w:pPr>
      <w:bookmarkStart w:id="5" w:name="后续"/>
      <w:r>
        <w:rPr>
          <w:b/>
          <w:bCs/>
          <w:color w:val="auto"/>
        </w:rPr>
        <w:t>后续：</w:t>
      </w:r>
      <w:bookmarkEnd w:id="5"/>
    </w:p>
    <w:p>
      <w:pPr>
        <w:numPr>
          <w:ilvl w:val="0"/>
          <w:numId w:val="2"/>
        </w:numPr>
      </w:pPr>
      <w:r>
        <w:t xml:space="preserve"> </w:t>
      </w:r>
      <w:r>
        <w:drawing>
          <wp:inline distT="0" distB="0" distL="114300" distR="114300">
            <wp:extent cx="3460750" cy="1803400"/>
            <wp:effectExtent l="0" t="0" r="6350" b="6350"/>
            <wp:docPr id="10"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title="fig:"/>
                    <pic:cNvPicPr>
                      <a:picLocks noChangeAspect="1" noChangeArrowheads="1"/>
                    </pic:cNvPicPr>
                  </pic:nvPicPr>
                  <pic:blipFill>
                    <a:blip r:embed="rId14"/>
                    <a:stretch>
                      <a:fillRect/>
                    </a:stretch>
                  </pic:blipFill>
                  <pic:spPr>
                    <a:xfrm>
                      <a:off x="0" y="0"/>
                      <a:ext cx="3460750" cy="1803400"/>
                    </a:xfrm>
                    <a:prstGeom prst="rect">
                      <a:avLst/>
                    </a:prstGeom>
                    <a:noFill/>
                    <a:ln w="9525">
                      <a:noFill/>
                    </a:ln>
                  </pic:spPr>
                </pic:pic>
              </a:graphicData>
            </a:graphic>
          </wp:inline>
        </w:drawing>
      </w:r>
    </w:p>
    <w:p>
      <w:pPr>
        <w:numPr>
          <w:ilvl w:val="0"/>
          <w:numId w:val="0"/>
        </w:numPr>
        <w:ind w:firstLine="480" w:firstLineChars="200"/>
        <w:rPr>
          <w:rFonts w:hint="eastAsia" w:eastAsia="宋体"/>
          <w:lang w:val="en-US" w:eastAsia="zh-CN"/>
        </w:rPr>
      </w:pPr>
      <w:r>
        <w:rPr>
          <w:rFonts w:hint="eastAsia" w:eastAsia="宋体"/>
          <w:lang w:val="en-US" w:eastAsia="zh-CN"/>
        </w:rPr>
        <w:t>Compound创始人表示拿出多出来收益的10%作为白帽奖励，希望获利的用户可以归还多出来的奖励，并通过提案63，64对问题进行修复。</w:t>
      </w:r>
    </w:p>
    <w:p>
      <w:pPr>
        <w:pStyle w:val="7"/>
        <w:numPr>
          <w:ilvl w:val="0"/>
          <w:numId w:val="0"/>
        </w:numPr>
        <w:ind w:left="240" w:leftChars="0"/>
        <w:rPr>
          <w:rFonts w:hint="eastAsia"/>
          <w:b/>
          <w:bCs/>
          <w:color w:val="auto"/>
          <w:lang w:val="en-US" w:eastAsia="zh-CN"/>
        </w:rPr>
      </w:pPr>
      <w:r>
        <w:rPr>
          <w:rFonts w:hint="eastAsia"/>
          <w:b/>
          <w:bCs/>
          <w:color w:val="auto"/>
          <w:lang w:val="en-US" w:eastAsia="zh-CN"/>
        </w:rPr>
        <w:t>启示：</w:t>
      </w:r>
    </w:p>
    <w:p>
      <w:pPr>
        <w:pStyle w:val="3"/>
        <w:rPr>
          <w:rFonts w:hint="default"/>
          <w:lang w:val="en-US" w:eastAsia="zh-CN"/>
        </w:rPr>
      </w:pPr>
      <w:r>
        <w:rPr>
          <w:rFonts w:hint="eastAsia"/>
          <w:b/>
          <w:bCs/>
          <w:color w:val="auto"/>
          <w:lang w:val="en-US" w:eastAsia="zh-CN"/>
        </w:rPr>
        <w:t xml:space="preserve">    </w:t>
      </w:r>
      <w:r>
        <w:rPr>
          <w:rFonts w:hint="eastAsia" w:eastAsia="宋体"/>
          <w:lang w:val="en-US" w:eastAsia="zh-CN"/>
        </w:rPr>
        <w:t>Compound虽然通过DAO的管理模式进行自治，但是在每次进行协议提案升级之前是否进行充分的安全性验证？当问题突发时，需要一定的提案过程与时间才可以对问题进行修复，充分暴露了对突发问题机动能力不足等问题！</w:t>
      </w:r>
    </w:p>
    <w:p>
      <w:pPr>
        <w:numPr>
          <w:ilvl w:val="0"/>
          <w:numId w:val="2"/>
        </w:numPr>
      </w:pPr>
    </w:p>
    <w:p>
      <w:pPr>
        <w:pStyle w:val="23"/>
      </w:pPr>
    </w:p>
    <w:bookmarkEnd w:id="0"/>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480"/>
      </w:pPr>
    </w:lvl>
    <w:lvl w:ilvl="1" w:tentative="0">
      <w:start w:val="0"/>
      <w:numFmt w:val="bullet"/>
      <w:lvlText w:val=" "/>
      <w:lvlJc w:val="left"/>
      <w:pPr>
        <w:ind w:left="1440" w:hanging="480"/>
      </w:pPr>
    </w:lvl>
    <w:lvl w:ilvl="2" w:tentative="0">
      <w:start w:val="0"/>
      <w:numFmt w:val="bullet"/>
      <w:lvlText w:val=" "/>
      <w:lvlJc w:val="left"/>
      <w:pPr>
        <w:ind w:left="2160" w:hanging="480"/>
      </w:pPr>
    </w:lvl>
    <w:lvl w:ilvl="3" w:tentative="0">
      <w:start w:val="0"/>
      <w:numFmt w:val="bullet"/>
      <w:lvlText w:val=" "/>
      <w:lvlJc w:val="left"/>
      <w:pPr>
        <w:ind w:left="2880" w:hanging="480"/>
      </w:pPr>
    </w:lvl>
    <w:lvl w:ilvl="4" w:tentative="0">
      <w:start w:val="0"/>
      <w:numFmt w:val="bullet"/>
      <w:lvlText w:val=" "/>
      <w:lvlJc w:val="left"/>
      <w:pPr>
        <w:ind w:left="3600" w:hanging="480"/>
      </w:pPr>
    </w:lvl>
    <w:lvl w:ilvl="5" w:tentative="0">
      <w:start w:val="0"/>
      <w:numFmt w:val="bullet"/>
      <w:lvlText w:val=" "/>
      <w:lvlJc w:val="left"/>
      <w:pPr>
        <w:ind w:left="4320" w:hanging="480"/>
      </w:pPr>
    </w:lvl>
    <w:lvl w:ilvl="6" w:tentative="0">
      <w:start w:val="0"/>
      <w:numFmt w:val="bullet"/>
      <w:lvlText w:val=" "/>
      <w:lvlJc w:val="left"/>
      <w:pPr>
        <w:ind w:left="5040" w:hanging="480"/>
      </w:pPr>
    </w:lvl>
    <w:lvl w:ilvl="7" w:tentative="0">
      <w:start w:val="0"/>
      <w:numFmt w:val="bullet"/>
      <w:lvlText w:val=" "/>
      <w:lvlJc w:val="left"/>
      <w:pPr>
        <w:ind w:left="5760" w:hanging="480"/>
      </w:pPr>
    </w:lvl>
    <w:lvl w:ilvl="8" w:tentative="0">
      <w:start w:val="0"/>
      <w:numFmt w:val="bullet"/>
      <w:lvlText w:val=" "/>
      <w:lvlJc w:val="left"/>
      <w:pPr>
        <w:ind w:left="6480" w:hanging="480"/>
      </w:pPr>
    </w:lvl>
  </w:abstractNum>
  <w:abstractNum w:abstractNumId="1">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000000"/>
    <w:rsid w:val="1F100255"/>
    <w:rsid w:val="3D89654B"/>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1"/>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style>
  <w:style w:type="character" w:customStyle="1" w:styleId="51">
    <w:name w:val="CommentTok"/>
    <w:basedOn w:val="35"/>
    <w:qFormat/>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TotalTime>
  <ScaleCrop>false</ScaleCrop>
  <LinksUpToDate>false</LinksUpToDate>
  <CharactersWithSpaces>583</CharactersWithSpaces>
  <Application>WPS Office_11.1.0.10723_F1E327BC-269C-435d-A152-05C5408002CA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2021-10-12T07:24:00Z</dcterms:created>
  <dc:creator>zexu.wang</dc:creator>
  <cp:lastModifiedBy>zexu.wang</cp:lastModifiedBy>
  <dcterms:modified xsi:type="dcterms:W3CDTF">2021-10-12T07:38:58Z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2052-11.1.0.10723</vt:lpwstr>
  </property>
  <property fmtid="{D5CDD505-2E9C-101B-9397-08002B2CF9AE}" pid="3" name="ICV">
    <vt:lpwstr>61EF5D38763E499EA611B99BCF6F99CA</vt:lpwstr>
  </property>
</Properties>
</file>