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w:t>
      </w:r>
      <w:r>
        <w:t xml:space="preserve"> </w:t>
      </w:r>
      <w:r>
        <w:t xml:space="preserve">Measurements</w:t>
      </w:r>
      <w:r>
        <w:t xml:space="preserve"> </w:t>
      </w:r>
      <w:r>
        <w:t xml:space="preserve">(Ch</w:t>
      </w:r>
      <w:r>
        <w:t xml:space="preserve"> </w:t>
      </w:r>
      <w:r>
        <w:t xml:space="preserve">5)</w:t>
      </w:r>
    </w:p>
    <w:p>
      <w:pPr>
        <w:pStyle w:val="Author"/>
      </w:pPr>
      <w:r>
        <w:t xml:space="preserve">James</w:t>
      </w:r>
      <w:r>
        <w:t xml:space="preserve"> </w:t>
      </w:r>
      <w:r>
        <w:t xml:space="preserve">Woods</w:t>
      </w:r>
    </w:p>
    <w:bookmarkStart w:id="26" w:name="depreciation"/>
    <w:p>
      <w:pPr>
        <w:pStyle w:val="Heading1"/>
      </w:pPr>
      <w:r>
        <w:t xml:space="preserve">Depreciation</w:t>
      </w:r>
    </w:p>
    <w:bookmarkStart w:id="20" w:name="review-from-intro-to-costs"/>
    <w:p>
      <w:pPr>
        <w:pStyle w:val="Heading2"/>
      </w:pPr>
      <w:r>
        <w:t xml:space="preserve">Review from Intro to Costs</w:t>
      </w:r>
    </w:p>
    <w:p>
      <w:pPr>
        <w:pStyle w:val="FirstParagraph"/>
      </w:pPr>
      <w:r>
        <w:t xml:space="preserve">Assets cost a lot and while purchased in one year provide benefits over many years. We would like to allocate cost of purchasing that asset over the years we use it (Matching principle).</w:t>
      </w:r>
    </w:p>
    <w:p>
      <w:pPr>
        <w:numPr>
          <w:ilvl w:val="0"/>
          <w:numId w:val="1001"/>
        </w:numPr>
        <w:pStyle w:val="Compact"/>
      </w:pPr>
      <w:r>
        <w:t xml:space="preserve">When you buy the asset (Balance Sheet) it is in the rate base and earns interest</w:t>
      </w:r>
    </w:p>
    <w:p>
      <w:pPr>
        <w:numPr>
          <w:ilvl w:val="0"/>
          <w:numId w:val="1001"/>
        </w:numPr>
        <w:pStyle w:val="Compact"/>
      </w:pPr>
      <w:r>
        <w:t xml:space="preserve">Every year some of the purchase price turns into depreciation (Income statement) and passed on the consumers.</w:t>
      </w:r>
    </w:p>
    <w:p>
      <w:pPr>
        <w:numPr>
          <w:ilvl w:val="0"/>
          <w:numId w:val="1001"/>
        </w:numPr>
        <w:pStyle w:val="Compact"/>
      </w:pPr>
      <w:r>
        <w:t xml:space="preserve">Ideally, sale of an asset should result in no income changes but it almost always happens.</w:t>
      </w:r>
    </w:p>
    <w:bookmarkEnd w:id="20"/>
    <w:bookmarkStart w:id="21" w:name="extended-numerical-example"/>
    <w:p>
      <w:pPr>
        <w:pStyle w:val="Heading2"/>
      </w:pPr>
      <w:r>
        <w:t xml:space="preserve">Extended Numerical Example</w:t>
      </w:r>
    </w:p>
    <w:p>
      <w:pPr>
        <w:numPr>
          <w:ilvl w:val="0"/>
          <w:numId w:val="1002"/>
        </w:numPr>
        <w:pStyle w:val="Compact"/>
      </w:pPr>
      <w:r>
        <w:t xml:space="preserve">Data Needed to Depreciate an Asset</w:t>
      </w:r>
    </w:p>
    <w:p>
      <w:pPr>
        <w:numPr>
          <w:ilvl w:val="1"/>
          <w:numId w:val="1003"/>
        </w:numPr>
        <w:pStyle w:val="Compact"/>
      </w:pPr>
      <w:r>
        <w:t xml:space="preserve">Service Date</w:t>
      </w:r>
    </w:p>
    <w:p>
      <w:pPr>
        <w:numPr>
          <w:ilvl w:val="1"/>
          <w:numId w:val="1003"/>
        </w:numPr>
        <w:pStyle w:val="Compact"/>
      </w:pPr>
      <w:r>
        <w:t xml:space="preserve">Cost Basis</w:t>
      </w:r>
    </w:p>
    <w:p>
      <w:pPr>
        <w:numPr>
          <w:ilvl w:val="1"/>
          <w:numId w:val="1003"/>
        </w:numPr>
        <w:pStyle w:val="Compact"/>
      </w:pPr>
      <w:r>
        <w:t xml:space="preserve">Asset Life</w:t>
      </w:r>
    </w:p>
    <w:p>
      <w:pPr>
        <w:numPr>
          <w:ilvl w:val="1"/>
          <w:numId w:val="1003"/>
        </w:numPr>
        <w:pStyle w:val="Compact"/>
      </w:pPr>
      <w:r>
        <w:t xml:space="preserve">Salvage Value</w:t>
      </w:r>
    </w:p>
    <w:p>
      <w:pPr>
        <w:numPr>
          <w:ilvl w:val="1"/>
          <w:numId w:val="1003"/>
        </w:numPr>
        <w:pStyle w:val="Compact"/>
      </w:pPr>
      <w:r>
        <w:t xml:space="preserve">Method, accelerated, straight line, etc.</w:t>
      </w:r>
    </w:p>
    <w:bookmarkEnd w:id="21"/>
    <w:bookmarkStart w:id="22" w:name="example"/>
    <w:p>
      <w:pPr>
        <w:pStyle w:val="Heading2"/>
      </w:pPr>
      <w:r>
        <w:t xml:space="preserve">Example</w:t>
      </w:r>
    </w:p>
    <w:p>
      <w:pPr>
        <w:numPr>
          <w:ilvl w:val="0"/>
          <w:numId w:val="1004"/>
        </w:numPr>
        <w:pStyle w:val="Compact"/>
      </w:pPr>
      <w:r>
        <w:t xml:space="preserve">Asset goes into service now.</w:t>
      </w:r>
    </w:p>
    <w:p>
      <w:pPr>
        <w:numPr>
          <w:ilvl w:val="0"/>
          <w:numId w:val="1004"/>
        </w:numPr>
        <w:pStyle w:val="Compact"/>
      </w:pPr>
      <w:r>
        <w:t xml:space="preserve">Cost 10K</w:t>
      </w:r>
    </w:p>
    <w:p>
      <w:pPr>
        <w:numPr>
          <w:ilvl w:val="0"/>
          <w:numId w:val="1004"/>
        </w:numPr>
        <w:pStyle w:val="Compact"/>
      </w:pPr>
      <w:r>
        <w:t xml:space="preserve">Will last five years</w:t>
      </w:r>
    </w:p>
    <w:p>
      <w:pPr>
        <w:numPr>
          <w:ilvl w:val="0"/>
          <w:numId w:val="1004"/>
        </w:numPr>
        <w:pStyle w:val="Compact"/>
      </w:pPr>
      <w:r>
        <w:t xml:space="preserve">Salvage for 2K</w:t>
      </w:r>
    </w:p>
    <w:p>
      <w:pPr>
        <w:numPr>
          <w:ilvl w:val="0"/>
          <w:numId w:val="1004"/>
        </w:numPr>
        <w:pStyle w:val="Compact"/>
      </w:pPr>
      <w:r>
        <w:t xml:space="preserve">Tax uses MACRS but we will use straight line.</w:t>
      </w:r>
    </w:p>
    <w:p>
      <w:pPr>
        <w:pStyle w:val="FirstParagraph"/>
      </w:pPr>
      <w:r>
        <w:t xml:space="preserve">Depreciation each year:</w:t>
      </w:r>
    </w:p>
    <w:p>
      <w:pPr>
        <w:pStyle w:val="BodyText"/>
      </w:pPr>
      <m:oMathPara>
        <m:oMathParaPr>
          <m:jc m:val="center"/>
        </m:oMathParaPr>
        <m:oMath>
          <m:f>
            <m:fPr>
              <m:type m:val="bar"/>
            </m:fPr>
            <m:num>
              <m:r>
                <m:t>(</m:t>
              </m:r>
              <m:r>
                <m:t>C</m:t>
              </m:r>
              <m:r>
                <m:t>o</m:t>
              </m:r>
              <m:r>
                <m:t>s</m:t>
              </m:r>
              <m:r>
                <m:t>t</m:t>
              </m:r>
              <m:r>
                <m:t>−</m:t>
              </m:r>
              <m:r>
                <m:t>S</m:t>
              </m:r>
              <m:r>
                <m:t>a</m:t>
              </m:r>
              <m:r>
                <m:t>l</m:t>
              </m:r>
              <m:r>
                <m:t>v</m:t>
              </m:r>
              <m:r>
                <m:t>a</m:t>
              </m:r>
              <m:r>
                <m:t>g</m:t>
              </m:r>
              <m:r>
                <m:t>e</m:t>
              </m:r>
              <m:r>
                <m:t>)</m:t>
              </m:r>
            </m:num>
            <m:den>
              <m:r>
                <m:t>L</m:t>
              </m:r>
              <m:r>
                <m:t>i</m:t>
              </m:r>
              <m:r>
                <m:t>f</m:t>
              </m:r>
              <m:r>
                <m:t>e</m:t>
              </m:r>
            </m:den>
          </m:f>
          <m:r>
            <m:t>=</m:t>
          </m:r>
          <m:f>
            <m:fPr>
              <m:type m:val="bar"/>
            </m:fPr>
            <m:num>
              <m:r>
                <m:t>10</m:t>
              </m:r>
              <m:r>
                <m:t>K</m:t>
              </m:r>
              <m:r>
                <m:t>−</m:t>
              </m:r>
              <m:r>
                <m:t>2</m:t>
              </m:r>
              <m:r>
                <m:t>K</m:t>
              </m:r>
            </m:num>
            <m:den>
              <m:r>
                <m:t>5</m:t>
              </m:r>
            </m:den>
          </m:f>
          <m:r>
            <m:t>=</m:t>
          </m:r>
          <m:r>
            <m:t>1.6</m:t>
          </m:r>
          <m:r>
            <m:t>K</m:t>
          </m:r>
        </m:oMath>
      </m:oMathPara>
    </w:p>
    <w:p>
      <w:pPr>
        <w:pStyle w:val="FirstParagraph"/>
      </w:pPr>
      <w:r>
        <w:t xml:space="preserve">The book spends a few pages doing this in percentage terms but that is more about the</w:t>
      </w:r>
      <w:r>
        <w:t xml:space="preserve"> </w:t>
      </w:r>
      <w:r>
        <w:t xml:space="preserve">“</w:t>
      </w:r>
      <w:r>
        <w:t xml:space="preserve">Iowa Curve</w:t>
      </w:r>
      <w:r>
        <w:t xml:space="preserve">”</w:t>
      </w:r>
      <w:r>
        <w:t xml:space="preserve"> </w:t>
      </w:r>
      <w:r>
        <w:t xml:space="preserve">methodology, what survival analysis looked like in the 1950s</w:t>
      </w:r>
    </w:p>
    <w:bookmarkEnd w:id="22"/>
    <w:bookmarkStart w:id="23" w:name="example-continued"/>
    <w:p>
      <w:pPr>
        <w:pStyle w:val="Heading2"/>
      </w:pPr>
      <w:r>
        <w:t xml:space="preserve">Example Continued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Depreciation</w:t>
            </w:r>
          </w:p>
        </w:tc>
        <w:tc>
          <w:tcPr>
            <w:tcBorders>
              <w:bottom w:val="single"/>
            </w:tcBorders>
            <w:vAlign w:val="bottom"/>
          </w:tcPr>
          <w:p>
            <w:pPr>
              <w:pStyle w:val="Compact"/>
              <w:jc w:val="right"/>
            </w:pPr>
            <w:r>
              <w:t xml:space="preserve">Book</w:t>
            </w:r>
          </w:p>
        </w:tc>
      </w:tr>
      <w:tr>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right"/>
            </w:pPr>
            <w:r>
              <w:t xml:space="preserve">1</w:t>
            </w:r>
          </w:p>
        </w:tc>
        <w:tc>
          <w:p>
            <w:pPr>
              <w:pStyle w:val="Compact"/>
              <w:jc w:val="right"/>
            </w:pPr>
            <w:r>
              <w:t xml:space="preserve">1.6</w:t>
            </w:r>
          </w:p>
        </w:tc>
        <w:tc>
          <w:p>
            <w:pPr>
              <w:pStyle w:val="Compact"/>
              <w:jc w:val="right"/>
            </w:pPr>
            <w:r>
              <w:t xml:space="preserve">8.4</w:t>
            </w:r>
          </w:p>
        </w:tc>
      </w:tr>
      <w:tr>
        <w:tc>
          <w:p>
            <w:pPr>
              <w:pStyle w:val="Compact"/>
              <w:jc w:val="right"/>
            </w:pPr>
            <w:r>
              <w:t xml:space="preserve">2</w:t>
            </w:r>
          </w:p>
        </w:tc>
        <w:tc>
          <w:p>
            <w:pPr>
              <w:pStyle w:val="Compact"/>
              <w:jc w:val="right"/>
            </w:pPr>
            <w:r>
              <w:t xml:space="preserve">1.6</w:t>
            </w:r>
          </w:p>
        </w:tc>
        <w:tc>
          <w:p>
            <w:pPr>
              <w:pStyle w:val="Compact"/>
              <w:jc w:val="right"/>
            </w:pPr>
            <w:r>
              <w:t xml:space="preserve">6.8</w:t>
            </w:r>
          </w:p>
        </w:tc>
      </w:tr>
      <w:tr>
        <w:tc>
          <w:p>
            <w:pPr>
              <w:pStyle w:val="Compact"/>
              <w:jc w:val="right"/>
            </w:pPr>
            <w:r>
              <w:t xml:space="preserve">3</w:t>
            </w:r>
          </w:p>
        </w:tc>
        <w:tc>
          <w:p>
            <w:pPr>
              <w:pStyle w:val="Compact"/>
              <w:jc w:val="right"/>
            </w:pPr>
            <w:r>
              <w:t xml:space="preserve">1.6</w:t>
            </w:r>
          </w:p>
        </w:tc>
        <w:tc>
          <w:p>
            <w:pPr>
              <w:pStyle w:val="Compact"/>
              <w:jc w:val="right"/>
            </w:pPr>
            <w:r>
              <w:t xml:space="preserve">5.2</w:t>
            </w:r>
          </w:p>
        </w:tc>
      </w:tr>
      <w:tr>
        <w:tc>
          <w:p>
            <w:pPr>
              <w:pStyle w:val="Compact"/>
              <w:jc w:val="right"/>
            </w:pPr>
            <w:r>
              <w:t xml:space="preserve">4</w:t>
            </w:r>
          </w:p>
        </w:tc>
        <w:tc>
          <w:p>
            <w:pPr>
              <w:pStyle w:val="Compact"/>
              <w:jc w:val="right"/>
            </w:pPr>
            <w:r>
              <w:t xml:space="preserve">1.6</w:t>
            </w:r>
          </w:p>
        </w:tc>
        <w:tc>
          <w:p>
            <w:pPr>
              <w:pStyle w:val="Compact"/>
              <w:jc w:val="right"/>
            </w:pPr>
            <w:r>
              <w:t xml:space="preserve">3.6</w:t>
            </w:r>
          </w:p>
        </w:tc>
      </w:tr>
      <w:tr>
        <w:tc>
          <w:p>
            <w:pPr>
              <w:pStyle w:val="Compact"/>
              <w:jc w:val="right"/>
            </w:pPr>
            <w:r>
              <w:t xml:space="preserve">5</w:t>
            </w:r>
          </w:p>
        </w:tc>
        <w:tc>
          <w:p>
            <w:pPr>
              <w:pStyle w:val="Compact"/>
              <w:jc w:val="right"/>
            </w:pPr>
            <w:r>
              <w:t xml:space="preserve">1.6</w:t>
            </w:r>
          </w:p>
        </w:tc>
        <w:tc>
          <w:p>
            <w:pPr>
              <w:pStyle w:val="Compact"/>
              <w:jc w:val="right"/>
            </w:pPr>
            <w:r>
              <w:t xml:space="preserve">2.0</w:t>
            </w:r>
          </w:p>
        </w:tc>
      </w:tr>
    </w:tbl>
    <w:p>
      <w:pPr>
        <w:pStyle w:val="BodyText"/>
      </w:pPr>
      <w:r>
        <w:t xml:space="preserve">The Book Value is the cost basis less accumulated depreciation. This is in the rate base and earns the allowable return.</w:t>
      </w:r>
    </w:p>
    <w:bookmarkEnd w:id="23"/>
    <w:bookmarkStart w:id="24" w:name="example-to-revenue-requirement"/>
    <w:p>
      <w:pPr>
        <w:pStyle w:val="Heading2"/>
      </w:pPr>
      <w:r>
        <w:t xml:space="preserve">Example to Revenue Requirement</w:t>
      </w:r>
    </w:p>
    <w:p>
      <w:pPr>
        <w:pStyle w:val="FirstParagraph"/>
      </w:pPr>
      <w:r>
        <w:t xml:space="preserve">All the depreciation is part of the revenue requirement and with an allowable rate of return of 10%.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Depreciation</w:t>
            </w:r>
          </w:p>
        </w:tc>
        <w:tc>
          <w:tcPr>
            <w:tcBorders>
              <w:bottom w:val="single"/>
            </w:tcBorders>
            <w:vAlign w:val="bottom"/>
          </w:tcPr>
          <w:p>
            <w:pPr>
              <w:pStyle w:val="Compact"/>
              <w:jc w:val="right"/>
            </w:pPr>
            <w:r>
              <w:t xml:space="preserve">Book</w:t>
            </w:r>
          </w:p>
        </w:tc>
        <w:tc>
          <w:tcPr>
            <w:tcBorders>
              <w:bottom w:val="single"/>
            </w:tcBorders>
            <w:vAlign w:val="bottom"/>
          </w:tcPr>
          <w:p>
            <w:pPr>
              <w:pStyle w:val="Compact"/>
              <w:jc w:val="right"/>
            </w:pPr>
            <w:r>
              <w:t xml:space="preserve">RR</w:t>
            </w:r>
          </w:p>
        </w:tc>
      </w:tr>
      <w:tr>
        <w:tc>
          <w:p>
            <w:pPr>
              <w:pStyle w:val="Compact"/>
              <w:jc w:val="right"/>
            </w:pPr>
            <w:r>
              <w:t xml:space="preserve">0</w:t>
            </w:r>
          </w:p>
        </w:tc>
        <w:tc>
          <w:p>
            <w:pPr>
              <w:pStyle w:val="Compact"/>
              <w:jc w:val="right"/>
            </w:pPr>
            <w:r>
              <w:t xml:space="preserve">0.0</w:t>
            </w:r>
          </w:p>
        </w:tc>
        <w:tc>
          <w:p>
            <w:pPr>
              <w:pStyle w:val="Compact"/>
              <w:jc w:val="right"/>
            </w:pPr>
            <w:r>
              <w:t xml:space="preserve">10.0</w:t>
            </w:r>
          </w:p>
        </w:tc>
        <w:tc>
          <w:p>
            <w:pPr>
              <w:pStyle w:val="Compact"/>
              <w:jc w:val="right"/>
            </w:pPr>
            <w:r>
              <w:t xml:space="preserve">0.00</w:t>
            </w:r>
          </w:p>
        </w:tc>
      </w:tr>
      <w:tr>
        <w:tc>
          <w:p>
            <w:pPr>
              <w:pStyle w:val="Compact"/>
              <w:jc w:val="right"/>
            </w:pPr>
            <w:r>
              <w:t xml:space="preserve">1</w:t>
            </w:r>
          </w:p>
        </w:tc>
        <w:tc>
          <w:p>
            <w:pPr>
              <w:pStyle w:val="Compact"/>
              <w:jc w:val="right"/>
            </w:pPr>
            <w:r>
              <w:t xml:space="preserve">1.6</w:t>
            </w:r>
          </w:p>
        </w:tc>
        <w:tc>
          <w:p>
            <w:pPr>
              <w:pStyle w:val="Compact"/>
              <w:jc w:val="right"/>
            </w:pPr>
            <w:r>
              <w:t xml:space="preserve">8.4</w:t>
            </w:r>
          </w:p>
        </w:tc>
        <w:tc>
          <w:p>
            <w:pPr>
              <w:pStyle w:val="Compact"/>
              <w:jc w:val="right"/>
            </w:pPr>
            <w:r>
              <w:t xml:space="preserve">2.44</w:t>
            </w:r>
          </w:p>
        </w:tc>
      </w:tr>
      <w:tr>
        <w:tc>
          <w:p>
            <w:pPr>
              <w:pStyle w:val="Compact"/>
              <w:jc w:val="right"/>
            </w:pPr>
            <w:r>
              <w:t xml:space="preserve">2</w:t>
            </w:r>
          </w:p>
        </w:tc>
        <w:tc>
          <w:p>
            <w:pPr>
              <w:pStyle w:val="Compact"/>
              <w:jc w:val="right"/>
            </w:pPr>
            <w:r>
              <w:t xml:space="preserve">1.6</w:t>
            </w:r>
          </w:p>
        </w:tc>
        <w:tc>
          <w:p>
            <w:pPr>
              <w:pStyle w:val="Compact"/>
              <w:jc w:val="right"/>
            </w:pPr>
            <w:r>
              <w:t xml:space="preserve">6.8</w:t>
            </w:r>
          </w:p>
        </w:tc>
        <w:tc>
          <w:p>
            <w:pPr>
              <w:pStyle w:val="Compact"/>
              <w:jc w:val="right"/>
            </w:pPr>
            <w:r>
              <w:t xml:space="preserve">2.28</w:t>
            </w:r>
          </w:p>
        </w:tc>
      </w:tr>
      <w:tr>
        <w:tc>
          <w:p>
            <w:pPr>
              <w:pStyle w:val="Compact"/>
              <w:jc w:val="right"/>
            </w:pPr>
            <w:r>
              <w:t xml:space="preserve">3</w:t>
            </w:r>
          </w:p>
        </w:tc>
        <w:tc>
          <w:p>
            <w:pPr>
              <w:pStyle w:val="Compact"/>
              <w:jc w:val="right"/>
            </w:pPr>
            <w:r>
              <w:t xml:space="preserve">1.6</w:t>
            </w:r>
          </w:p>
        </w:tc>
        <w:tc>
          <w:p>
            <w:pPr>
              <w:pStyle w:val="Compact"/>
              <w:jc w:val="right"/>
            </w:pPr>
            <w:r>
              <w:t xml:space="preserve">5.2</w:t>
            </w:r>
          </w:p>
        </w:tc>
        <w:tc>
          <w:p>
            <w:pPr>
              <w:pStyle w:val="Compact"/>
              <w:jc w:val="right"/>
            </w:pPr>
            <w:r>
              <w:t xml:space="preserve">2.12</w:t>
            </w:r>
          </w:p>
        </w:tc>
      </w:tr>
      <w:tr>
        <w:tc>
          <w:p>
            <w:pPr>
              <w:pStyle w:val="Compact"/>
              <w:jc w:val="right"/>
            </w:pPr>
            <w:r>
              <w:t xml:space="preserve">4</w:t>
            </w:r>
          </w:p>
        </w:tc>
        <w:tc>
          <w:p>
            <w:pPr>
              <w:pStyle w:val="Compact"/>
              <w:jc w:val="right"/>
            </w:pPr>
            <w:r>
              <w:t xml:space="preserve">1.6</w:t>
            </w:r>
          </w:p>
        </w:tc>
        <w:tc>
          <w:p>
            <w:pPr>
              <w:pStyle w:val="Compact"/>
              <w:jc w:val="right"/>
            </w:pPr>
            <w:r>
              <w:t xml:space="preserve">3.6</w:t>
            </w:r>
          </w:p>
        </w:tc>
        <w:tc>
          <w:p>
            <w:pPr>
              <w:pStyle w:val="Compact"/>
              <w:jc w:val="right"/>
            </w:pPr>
            <w:r>
              <w:t xml:space="preserve">1.96</w:t>
            </w:r>
          </w:p>
        </w:tc>
      </w:tr>
      <w:tr>
        <w:tc>
          <w:p>
            <w:pPr>
              <w:pStyle w:val="Compact"/>
              <w:jc w:val="right"/>
            </w:pPr>
            <w:r>
              <w:t xml:space="preserve">5</w:t>
            </w:r>
          </w:p>
        </w:tc>
        <w:tc>
          <w:p>
            <w:pPr>
              <w:pStyle w:val="Compact"/>
              <w:jc w:val="right"/>
            </w:pPr>
            <w:r>
              <w:t xml:space="preserve">1.6</w:t>
            </w:r>
          </w:p>
        </w:tc>
        <w:tc>
          <w:p>
            <w:pPr>
              <w:pStyle w:val="Compact"/>
              <w:jc w:val="right"/>
            </w:pPr>
            <w:r>
              <w:t xml:space="preserve">2.0</w:t>
            </w:r>
          </w:p>
        </w:tc>
        <w:tc>
          <w:p>
            <w:pPr>
              <w:pStyle w:val="Compact"/>
              <w:jc w:val="right"/>
            </w:pPr>
            <w:r>
              <w:t xml:space="preserve">1.80</w:t>
            </w:r>
          </w:p>
        </w:tc>
      </w:tr>
    </w:tbl>
    <w:p>
      <w:pPr>
        <w:pStyle w:val="BodyText"/>
      </w:pPr>
      <m:oMathPara>
        <m:oMathParaPr>
          <m:jc m:val="center"/>
        </m:oMathParaPr>
        <m:oMath>
          <m:r>
            <m:t>R</m:t>
          </m:r>
          <m:r>
            <m:t>e</m:t>
          </m:r>
          <m:r>
            <m:t>v</m:t>
          </m:r>
          <m:r>
            <m:t>e</m:t>
          </m:r>
          <m:r>
            <m:t>n</m:t>
          </m:r>
          <m:r>
            <m:t>u</m:t>
          </m:r>
          <m:r>
            <m:t>e</m:t>
          </m:r>
          <m:r>
            <m:t> </m:t>
          </m:r>
          <m:r>
            <m:t>R</m:t>
          </m:r>
          <m:r>
            <m:t>e</m:t>
          </m:r>
          <m:r>
            <m:t>q</m:t>
          </m:r>
          <m:r>
            <m:t>u</m:t>
          </m:r>
          <m:r>
            <m:t>i</m:t>
          </m:r>
          <m:r>
            <m:t>r</m:t>
          </m:r>
          <m:r>
            <m:t>e</m:t>
          </m:r>
          <m:r>
            <m:t>m</m:t>
          </m:r>
          <m:r>
            <m:t>e</m:t>
          </m:r>
          <m:r>
            <m:t>n</m:t>
          </m:r>
          <m:r>
            <m:t>t</m:t>
          </m:r>
          <m:r>
            <m:t>=</m:t>
          </m:r>
          <m:r>
            <m:t>D</m:t>
          </m:r>
          <m:r>
            <m:t>e</m:t>
          </m:r>
          <m:r>
            <m:t>p</m:t>
          </m:r>
          <m:r>
            <m:t>r</m:t>
          </m:r>
          <m:r>
            <m:t>e</m:t>
          </m:r>
          <m:r>
            <m:t>c</m:t>
          </m:r>
          <m:r>
            <m:t>i</m:t>
          </m:r>
          <m:r>
            <m:t>a</m:t>
          </m:r>
          <m:r>
            <m:t>t</m:t>
          </m:r>
          <m:r>
            <m:t>i</m:t>
          </m:r>
          <m:r>
            <m:t>o</m:t>
          </m:r>
          <m:r>
            <m:t>n</m:t>
          </m:r>
          <m:r>
            <m:t>+</m:t>
          </m:r>
          <m:r>
            <m:t>(</m:t>
          </m:r>
          <m:r>
            <m:t>.1</m:t>
          </m:r>
          <m:r>
            <m:t>)</m:t>
          </m:r>
          <m:r>
            <m:t>B</m:t>
          </m:r>
          <m:r>
            <m:t>o</m:t>
          </m:r>
          <m:r>
            <m:t>o</m:t>
          </m:r>
          <m:r>
            <m:t>k</m:t>
          </m:r>
          <m:r>
            <m:t> </m:t>
          </m:r>
          <m:r>
            <m:t>V</m:t>
          </m:r>
          <m:r>
            <m:t>a</m:t>
          </m:r>
          <m:r>
            <m:t>l</m:t>
          </m:r>
          <m:r>
            <m:t>u</m:t>
          </m:r>
          <m:r>
            <m:t>e</m:t>
          </m:r>
        </m:oMath>
      </m:oMathPara>
    </w:p>
    <w:bookmarkEnd w:id="24"/>
    <w:bookmarkStart w:id="25" w:name="asset-retirement-obligations"/>
    <w:p>
      <w:pPr>
        <w:pStyle w:val="Heading2"/>
      </w:pPr>
      <w:r>
        <w:t xml:space="preserve">Asset Retirement Obligations</w:t>
      </w:r>
    </w:p>
    <w:p>
      <w:pPr>
        <w:pStyle w:val="FirstParagraph"/>
      </w:pPr>
      <w:r>
        <w:t xml:space="preserve">Now lets add in that a site will need to be cleaned up or that it is expensive to decommission. In this case 5K.</w:t>
      </w:r>
    </w:p>
    <w:p>
      <w:pPr>
        <w:numPr>
          <w:ilvl w:val="0"/>
          <w:numId w:val="1005"/>
        </w:numPr>
        <w:pStyle w:val="Compact"/>
      </w:pPr>
      <w:r>
        <w:t xml:space="preserve">Every year, take an equal amount as an expense.</w:t>
      </w:r>
    </w:p>
    <w:p>
      <w:pPr>
        <w:numPr>
          <w:ilvl w:val="0"/>
          <w:numId w:val="1005"/>
        </w:numPr>
        <w:pStyle w:val="Compact"/>
      </w:pPr>
      <w:r>
        <w:t xml:space="preserve">Add to the rate base, it earns interest in the rate base.</w:t>
      </w:r>
    </w:p>
    <w:p>
      <w:pPr>
        <w:numPr>
          <w:ilvl w:val="0"/>
          <w:numId w:val="1005"/>
        </w:numPr>
        <w:pStyle w:val="Compact"/>
      </w:pPr>
      <w:r>
        <w:t xml:space="preserve">When you decommission, remove it from the rate base but don’t add it as an expense since you already did.</w:t>
      </w:r>
    </w:p>
    <w:p>
      <w:pPr>
        <w:numPr>
          <w:ilvl w:val="0"/>
          <w:numId w:val="1005"/>
        </w:numPr>
        <w:pStyle w:val="Compact"/>
      </w:pPr>
      <m:oMath>
        <m:r>
          <m:t>R</m:t>
        </m:r>
        <m:r>
          <m:t>e</m:t>
        </m:r>
        <m:r>
          <m:t>v</m:t>
        </m:r>
        <m:r>
          <m:t>e</m:t>
        </m:r>
        <m:r>
          <m:t>n</m:t>
        </m:r>
        <m:r>
          <m:t>u</m:t>
        </m:r>
        <m:r>
          <m:t>e</m:t>
        </m:r>
        <m:r>
          <m:t> </m:t>
        </m:r>
        <m:r>
          <m:t>R</m:t>
        </m:r>
        <m:r>
          <m:t>e</m:t>
        </m:r>
        <m:r>
          <m:t>q</m:t>
        </m:r>
        <m:r>
          <m:t>u</m:t>
        </m:r>
        <m:r>
          <m:t>i</m:t>
        </m:r>
        <m:r>
          <m:t>r</m:t>
        </m:r>
        <m:r>
          <m:t>e</m:t>
        </m:r>
        <m:r>
          <m:t>m</m:t>
        </m:r>
        <m:r>
          <m:t>e</m:t>
        </m:r>
        <m:r>
          <m:t>n</m:t>
        </m:r>
        <m:r>
          <m:t>t</m:t>
        </m:r>
        <m:r>
          <m:t>=</m:t>
        </m:r>
        <m:r>
          <m:t>D</m:t>
        </m:r>
        <m:r>
          <m:t>e</m:t>
        </m:r>
        <m:r>
          <m:t>p</m:t>
        </m:r>
        <m:r>
          <m:t>r</m:t>
        </m:r>
        <m:r>
          <m:t>e</m:t>
        </m:r>
        <m:r>
          <m:t>c</m:t>
        </m:r>
        <m:r>
          <m:t>i</m:t>
        </m:r>
        <m:r>
          <m:t>a</m:t>
        </m:r>
        <m:r>
          <m:t>t</m:t>
        </m:r>
        <m:r>
          <m:t>i</m:t>
        </m:r>
        <m:r>
          <m:t>o</m:t>
        </m:r>
        <m:r>
          <m:t>n</m:t>
        </m:r>
        <m:r>
          <m:t>+</m:t>
        </m:r>
        <m:r>
          <m:t>D</m:t>
        </m:r>
        <m:r>
          <m:t>e</m:t>
        </m:r>
        <m:r>
          <m:t>c</m:t>
        </m:r>
        <m:r>
          <m:t>o</m:t>
        </m:r>
        <m:r>
          <m:t>m</m:t>
        </m:r>
        <m:r>
          <m:t>m</m:t>
        </m:r>
        <m:r>
          <m:t>i</m:t>
        </m:r>
        <m:r>
          <m:t>s</m:t>
        </m:r>
        <m:r>
          <m:t>s</m:t>
        </m:r>
        <m:r>
          <m:t>i</m:t>
        </m:r>
        <m:r>
          <m:t>o</m:t>
        </m:r>
        <m:r>
          <m:t>n</m:t>
        </m:r>
        <m:r>
          <m:t>+</m:t>
        </m:r>
        <m:r>
          <m:t>.1</m:t>
        </m:r>
        <m:r>
          <m:t>(</m:t>
        </m:r>
        <m:r>
          <m:t>B</m:t>
        </m:r>
        <m:r>
          <m:t>o</m:t>
        </m:r>
        <m:r>
          <m:t>o</m:t>
        </m:r>
        <m:r>
          <m:t>k</m:t>
        </m:r>
        <m:r>
          <m:t> </m:t>
        </m:r>
        <m:r>
          <m:t>V</m:t>
        </m:r>
        <m:r>
          <m:t>a</m:t>
        </m:r>
        <m:r>
          <m:t>l</m:t>
        </m:r>
        <m:r>
          <m:t>u</m:t>
        </m:r>
        <m:r>
          <m:t>e</m:t>
        </m:r>
        <m:r>
          <m:t>+</m:t>
        </m:r>
        <m:r>
          <m:t>A</m:t>
        </m:r>
        <m:r>
          <m:t>R</m:t>
        </m:r>
        <m:r>
          <m:t>O</m:t>
        </m:r>
        <m:r>
          <m:t>)</m:t>
        </m:r>
      </m:oMath>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Depreciation</w:t>
            </w:r>
          </w:p>
        </w:tc>
        <w:tc>
          <w:tcPr>
            <w:tcBorders>
              <w:bottom w:val="single"/>
            </w:tcBorders>
            <w:vAlign w:val="bottom"/>
          </w:tcPr>
          <w:p>
            <w:pPr>
              <w:pStyle w:val="Compact"/>
              <w:jc w:val="right"/>
            </w:pPr>
            <w:r>
              <w:t xml:space="preserve">Book</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Decomission</w:t>
            </w:r>
          </w:p>
        </w:tc>
        <w:tc>
          <w:tcPr>
            <w:tcBorders>
              <w:bottom w:val="single"/>
            </w:tcBorders>
            <w:vAlign w:val="bottom"/>
          </w:tcPr>
          <w:p>
            <w:pPr>
              <w:pStyle w:val="Compact"/>
              <w:jc w:val="right"/>
            </w:pPr>
            <w:r>
              <w:t xml:space="preserve">ARO</w:t>
            </w:r>
          </w:p>
        </w:tc>
      </w:tr>
      <w:tr>
        <w:tc>
          <w:p>
            <w:pPr>
              <w:pStyle w:val="Compact"/>
              <w:jc w:val="right"/>
            </w:pPr>
            <w:r>
              <w:t xml:space="preserve">0</w:t>
            </w:r>
          </w:p>
        </w:tc>
        <w:tc>
          <w:p>
            <w:pPr>
              <w:pStyle w:val="Compact"/>
              <w:jc w:val="right"/>
            </w:pPr>
            <w:r>
              <w:t xml:space="preserve">0.0</w:t>
            </w:r>
          </w:p>
        </w:tc>
        <w:tc>
          <w:p>
            <w:pPr>
              <w:pStyle w:val="Compact"/>
              <w:jc w:val="right"/>
            </w:pPr>
            <w:r>
              <w:t xml:space="preserve">10.0</w:t>
            </w:r>
          </w:p>
        </w:tc>
        <w:tc>
          <w:p>
            <w:pPr>
              <w:pStyle w:val="Compact"/>
              <w:jc w:val="right"/>
            </w:pPr>
            <w:r>
              <w:t xml:space="preserve">0.00</w:t>
            </w:r>
          </w:p>
        </w:tc>
        <w:tc>
          <w:p>
            <w:pPr>
              <w:pStyle w:val="Compact"/>
              <w:jc w:val="right"/>
            </w:pPr>
            <w:r>
              <w:t xml:space="preserve">0</w:t>
            </w:r>
          </w:p>
        </w:tc>
        <w:tc>
          <w:p>
            <w:pPr>
              <w:pStyle w:val="Compact"/>
              <w:jc w:val="right"/>
            </w:pPr>
            <w:r>
              <w:t xml:space="preserve">0</w:t>
            </w:r>
          </w:p>
        </w:tc>
      </w:tr>
      <w:tr>
        <w:tc>
          <w:p>
            <w:pPr>
              <w:pStyle w:val="Compact"/>
              <w:jc w:val="right"/>
            </w:pPr>
            <w:r>
              <w:t xml:space="preserve">1</w:t>
            </w:r>
          </w:p>
        </w:tc>
        <w:tc>
          <w:p>
            <w:pPr>
              <w:pStyle w:val="Compact"/>
              <w:jc w:val="right"/>
            </w:pPr>
            <w:r>
              <w:t xml:space="preserve">1.6</w:t>
            </w:r>
          </w:p>
        </w:tc>
        <w:tc>
          <w:p>
            <w:pPr>
              <w:pStyle w:val="Compact"/>
              <w:jc w:val="right"/>
            </w:pPr>
            <w:r>
              <w:t xml:space="preserve">8.4</w:t>
            </w:r>
          </w:p>
        </w:tc>
        <w:tc>
          <w:p>
            <w:pPr>
              <w:pStyle w:val="Compact"/>
              <w:jc w:val="right"/>
            </w:pPr>
            <w:r>
              <w:t xml:space="preserve">3.54</w:t>
            </w:r>
          </w:p>
        </w:tc>
        <w:tc>
          <w:p>
            <w:pPr>
              <w:pStyle w:val="Compact"/>
              <w:jc w:val="right"/>
            </w:pPr>
            <w:r>
              <w:t xml:space="preserve">1</w:t>
            </w:r>
          </w:p>
        </w:tc>
        <w:tc>
          <w:p>
            <w:pPr>
              <w:pStyle w:val="Compact"/>
              <w:jc w:val="right"/>
            </w:pPr>
            <w:r>
              <w:t xml:space="preserve">1</w:t>
            </w:r>
          </w:p>
        </w:tc>
      </w:tr>
      <w:tr>
        <w:tc>
          <w:p>
            <w:pPr>
              <w:pStyle w:val="Compact"/>
              <w:jc w:val="right"/>
            </w:pPr>
            <w:r>
              <w:t xml:space="preserve">2</w:t>
            </w:r>
          </w:p>
        </w:tc>
        <w:tc>
          <w:p>
            <w:pPr>
              <w:pStyle w:val="Compact"/>
              <w:jc w:val="right"/>
            </w:pPr>
            <w:r>
              <w:t xml:space="preserve">1.6</w:t>
            </w:r>
          </w:p>
        </w:tc>
        <w:tc>
          <w:p>
            <w:pPr>
              <w:pStyle w:val="Compact"/>
              <w:jc w:val="right"/>
            </w:pPr>
            <w:r>
              <w:t xml:space="preserve">6.8</w:t>
            </w:r>
          </w:p>
        </w:tc>
        <w:tc>
          <w:p>
            <w:pPr>
              <w:pStyle w:val="Compact"/>
              <w:jc w:val="right"/>
            </w:pPr>
            <w:r>
              <w:t xml:space="preserve">3.48</w:t>
            </w:r>
          </w:p>
        </w:tc>
        <w:tc>
          <w:p>
            <w:pPr>
              <w:pStyle w:val="Compact"/>
              <w:jc w:val="right"/>
            </w:pPr>
            <w:r>
              <w:t xml:space="preserve">1</w:t>
            </w:r>
          </w:p>
        </w:tc>
        <w:tc>
          <w:p>
            <w:pPr>
              <w:pStyle w:val="Compact"/>
              <w:jc w:val="right"/>
            </w:pPr>
            <w:r>
              <w:t xml:space="preserve">2</w:t>
            </w:r>
          </w:p>
        </w:tc>
      </w:tr>
      <w:tr>
        <w:tc>
          <w:p>
            <w:pPr>
              <w:pStyle w:val="Compact"/>
              <w:jc w:val="right"/>
            </w:pPr>
            <w:r>
              <w:t xml:space="preserve">3</w:t>
            </w:r>
          </w:p>
        </w:tc>
        <w:tc>
          <w:p>
            <w:pPr>
              <w:pStyle w:val="Compact"/>
              <w:jc w:val="right"/>
            </w:pPr>
            <w:r>
              <w:t xml:space="preserve">1.6</w:t>
            </w:r>
          </w:p>
        </w:tc>
        <w:tc>
          <w:p>
            <w:pPr>
              <w:pStyle w:val="Compact"/>
              <w:jc w:val="right"/>
            </w:pPr>
            <w:r>
              <w:t xml:space="preserve">5.2</w:t>
            </w:r>
          </w:p>
        </w:tc>
        <w:tc>
          <w:p>
            <w:pPr>
              <w:pStyle w:val="Compact"/>
              <w:jc w:val="right"/>
            </w:pPr>
            <w:r>
              <w:t xml:space="preserve">3.42</w:t>
            </w:r>
          </w:p>
        </w:tc>
        <w:tc>
          <w:p>
            <w:pPr>
              <w:pStyle w:val="Compact"/>
              <w:jc w:val="right"/>
            </w:pPr>
            <w:r>
              <w:t xml:space="preserve">1</w:t>
            </w:r>
          </w:p>
        </w:tc>
        <w:tc>
          <w:p>
            <w:pPr>
              <w:pStyle w:val="Compact"/>
              <w:jc w:val="right"/>
            </w:pPr>
            <w:r>
              <w:t xml:space="preserve">3</w:t>
            </w:r>
          </w:p>
        </w:tc>
      </w:tr>
      <w:tr>
        <w:tc>
          <w:p>
            <w:pPr>
              <w:pStyle w:val="Compact"/>
              <w:jc w:val="right"/>
            </w:pPr>
            <w:r>
              <w:t xml:space="preserve">4</w:t>
            </w:r>
          </w:p>
        </w:tc>
        <w:tc>
          <w:p>
            <w:pPr>
              <w:pStyle w:val="Compact"/>
              <w:jc w:val="right"/>
            </w:pPr>
            <w:r>
              <w:t xml:space="preserve">1.6</w:t>
            </w:r>
          </w:p>
        </w:tc>
        <w:tc>
          <w:p>
            <w:pPr>
              <w:pStyle w:val="Compact"/>
              <w:jc w:val="right"/>
            </w:pPr>
            <w:r>
              <w:t xml:space="preserve">3.6</w:t>
            </w:r>
          </w:p>
        </w:tc>
        <w:tc>
          <w:p>
            <w:pPr>
              <w:pStyle w:val="Compact"/>
              <w:jc w:val="right"/>
            </w:pPr>
            <w:r>
              <w:t xml:space="preserve">3.36</w:t>
            </w:r>
          </w:p>
        </w:tc>
        <w:tc>
          <w:p>
            <w:pPr>
              <w:pStyle w:val="Compact"/>
              <w:jc w:val="right"/>
            </w:pPr>
            <w:r>
              <w:t xml:space="preserve">1</w:t>
            </w:r>
          </w:p>
        </w:tc>
        <w:tc>
          <w:p>
            <w:pPr>
              <w:pStyle w:val="Compact"/>
              <w:jc w:val="right"/>
            </w:pPr>
            <w:r>
              <w:t xml:space="preserve">4</w:t>
            </w:r>
          </w:p>
        </w:tc>
      </w:tr>
      <w:tr>
        <w:tc>
          <w:p>
            <w:pPr>
              <w:pStyle w:val="Compact"/>
              <w:jc w:val="right"/>
            </w:pPr>
            <w:r>
              <w:t xml:space="preserve">5</w:t>
            </w:r>
          </w:p>
        </w:tc>
        <w:tc>
          <w:p>
            <w:pPr>
              <w:pStyle w:val="Compact"/>
              <w:jc w:val="right"/>
            </w:pPr>
            <w:r>
              <w:t xml:space="preserve">1.6</w:t>
            </w:r>
          </w:p>
        </w:tc>
        <w:tc>
          <w:p>
            <w:pPr>
              <w:pStyle w:val="Compact"/>
              <w:jc w:val="right"/>
            </w:pPr>
            <w:r>
              <w:t xml:space="preserve">2.0</w:t>
            </w:r>
          </w:p>
        </w:tc>
        <w:tc>
          <w:p>
            <w:pPr>
              <w:pStyle w:val="Compact"/>
              <w:jc w:val="right"/>
            </w:pPr>
            <w:r>
              <w:t xml:space="preserve">3.30</w:t>
            </w:r>
          </w:p>
        </w:tc>
        <w:tc>
          <w:p>
            <w:pPr>
              <w:pStyle w:val="Compact"/>
              <w:jc w:val="right"/>
            </w:pPr>
            <w:r>
              <w:t xml:space="preserve">1</w:t>
            </w:r>
          </w:p>
        </w:tc>
        <w:tc>
          <w:p>
            <w:pPr>
              <w:pStyle w:val="Compact"/>
              <w:jc w:val="right"/>
            </w:pPr>
            <w:r>
              <w:t xml:space="preserve">5</w:t>
            </w:r>
          </w:p>
        </w:tc>
      </w:tr>
    </w:tbl>
    <w:bookmarkEnd w:id="25"/>
    <w:bookmarkEnd w:id="26"/>
    <w:bookmarkStart w:id="38" w:name="disallowance"/>
    <w:p>
      <w:pPr>
        <w:pStyle w:val="Heading1"/>
      </w:pPr>
      <w:r>
        <w:t xml:space="preserve">Disallowance</w:t>
      </w:r>
    </w:p>
    <w:bookmarkStart w:id="27" w:name="Xe471fa39284ab30cbf11023ef4baa849f1bb593"/>
    <w:p>
      <w:pPr>
        <w:pStyle w:val="Heading2"/>
      </w:pPr>
      <w:r>
        <w:t xml:space="preserve">Examples of Dissallowance and the Reasons Why</w:t>
      </w:r>
    </w:p>
    <w:p>
      <w:pPr>
        <w:pStyle w:val="FirstParagraph"/>
      </w:pPr>
      <w:r>
        <w:t xml:space="preserve">Disallowance is the technical term for not including an expense or an asset in the rate base.</w:t>
      </w:r>
    </w:p>
    <w:p>
      <w:pPr>
        <w:pStyle w:val="BodyText"/>
      </w:pPr>
      <w:r>
        <w:t xml:space="preserve">Key terms:</w:t>
      </w:r>
    </w:p>
    <w:p>
      <w:pPr>
        <w:numPr>
          <w:ilvl w:val="0"/>
          <w:numId w:val="1006"/>
        </w:numPr>
        <w:pStyle w:val="Compact"/>
      </w:pPr>
      <w:r>
        <w:t xml:space="preserve">Used and Useful: Comes from Smyth v. Ames (1898) and says physically used and useful to current rate payers before they can be asked to pay for it. There are some exceptions.</w:t>
      </w:r>
    </w:p>
    <w:p>
      <w:pPr>
        <w:numPr>
          <w:ilvl w:val="0"/>
          <w:numId w:val="1006"/>
        </w:numPr>
        <w:pStyle w:val="Compact"/>
      </w:pPr>
      <w:r>
        <w:t xml:space="preserve">Prudent: Makes sense at the time it was made. Not penalized for not knowing the future.</w:t>
      </w:r>
    </w:p>
    <w:bookmarkEnd w:id="27"/>
    <w:bookmarkStart w:id="28" w:name="examples-of-dissallowance-in-orgon"/>
    <w:p>
      <w:pPr>
        <w:pStyle w:val="Heading2"/>
      </w:pPr>
      <w:r>
        <w:t xml:space="preserve">Examples of Dissallowance in Orgon</w:t>
      </w:r>
    </w:p>
    <w:p>
      <w:pPr>
        <w:numPr>
          <w:ilvl w:val="0"/>
          <w:numId w:val="1007"/>
        </w:numPr>
        <w:pStyle w:val="Compact"/>
      </w:pPr>
      <w:r>
        <w:t xml:space="preserve">Trojan Nuclear Power Plant (PGE) as part of a larger rate case.</w:t>
      </w:r>
      <w:r>
        <w:br/>
      </w:r>
    </w:p>
    <w:p>
      <w:pPr>
        <w:numPr>
          <w:ilvl w:val="0"/>
          <w:numId w:val="1007"/>
        </w:numPr>
        <w:pStyle w:val="Compact"/>
      </w:pPr>
      <w:r>
        <w:t xml:space="preserve">Multiple Wind Projects (PacifiCorp) as part of a larger rate case. Costs associated with Rolling Hills was excluded.</w:t>
      </w:r>
    </w:p>
    <w:bookmarkEnd w:id="28"/>
    <w:bookmarkStart w:id="29" w:name="trojan"/>
    <w:p>
      <w:pPr>
        <w:pStyle w:val="Heading2"/>
      </w:pPr>
      <w:r>
        <w:t xml:space="preserve">Trojan</w:t>
      </w:r>
    </w:p>
    <w:p>
      <w:pPr>
        <w:numPr>
          <w:ilvl w:val="0"/>
          <w:numId w:val="1008"/>
        </w:numPr>
        <w:pStyle w:val="Compact"/>
      </w:pPr>
      <w:r>
        <w:t xml:space="preserve">1976 - 1992</w:t>
      </w:r>
    </w:p>
    <w:p>
      <w:pPr>
        <w:numPr>
          <w:ilvl w:val="0"/>
          <w:numId w:val="1008"/>
        </w:numPr>
        <w:pStyle w:val="Compact"/>
      </w:pPr>
      <w:r>
        <w:t xml:space="preserve">Only commercial Nuclear plant built in OR</w:t>
      </w:r>
    </w:p>
    <w:p>
      <w:pPr>
        <w:numPr>
          <w:ilvl w:val="0"/>
          <w:numId w:val="1008"/>
        </w:numPr>
        <w:pStyle w:val="Compact"/>
      </w:pPr>
      <w:r>
        <w:t xml:space="preserve">Main issue is management problems often around maintenance</w:t>
      </w:r>
    </w:p>
    <w:p>
      <w:pPr>
        <w:numPr>
          <w:ilvl w:val="0"/>
          <w:numId w:val="1008"/>
        </w:numPr>
        <w:pStyle w:val="Compact"/>
      </w:pPr>
      <w:r>
        <w:t xml:space="preserve">Many interesting aspects to this case, beyond diassallowance as well as controversy.</w:t>
      </w:r>
    </w:p>
    <w:p>
      <w:pPr>
        <w:numPr>
          <w:ilvl w:val="1"/>
          <w:numId w:val="1009"/>
        </w:numPr>
        <w:pStyle w:val="Compact"/>
      </w:pPr>
      <w:r>
        <w:t xml:space="preserve">Public protests</w:t>
      </w:r>
    </w:p>
    <w:p>
      <w:pPr>
        <w:numPr>
          <w:ilvl w:val="1"/>
          <w:numId w:val="1009"/>
        </w:numPr>
        <w:pStyle w:val="Compact"/>
      </w:pPr>
      <w:r>
        <w:t xml:space="preserve">Two dissenting opinions</w:t>
      </w:r>
    </w:p>
    <w:p>
      <w:pPr>
        <w:numPr>
          <w:ilvl w:val="0"/>
          <w:numId w:val="1008"/>
        </w:numPr>
        <w:pStyle w:val="Compact"/>
      </w:pPr>
      <w:r>
        <w:t xml:space="preserve">Theodore Barry and Associates (TBA)</w:t>
      </w:r>
    </w:p>
    <w:bookmarkEnd w:id="29"/>
    <w:bookmarkStart w:id="30" w:name="trojan-key-dissallowance-part-1"/>
    <w:p>
      <w:pPr>
        <w:pStyle w:val="Heading2"/>
      </w:pPr>
      <w:r>
        <w:t xml:space="preserve">Trojan Key Dissallowance Part 1</w:t>
      </w:r>
    </w:p>
    <w:p>
      <w:pPr>
        <w:pStyle w:val="FirstParagraph"/>
      </w:pPr>
      <w:r>
        <w:t xml:space="preserve">After an examination of the net benefits analysis, we conclude that the premature closure of Trojan resulted in a negative net benefit of approximately $20.4 million. We find that continued operation of Trojan would have cost less than immediate shutdown but for steam generator defects and management problems at Trojan. Management problems resulted in avoidable costs that should be borne by shareholders, not ratepayers.</w:t>
      </w:r>
    </w:p>
    <w:bookmarkEnd w:id="30"/>
    <w:bookmarkStart w:id="31" w:name="trojan-key-dissallowance-part-2"/>
    <w:p>
      <w:pPr>
        <w:pStyle w:val="Heading2"/>
      </w:pPr>
      <w:r>
        <w:t xml:space="preserve">Trojan Key Dissallowance Part 2</w:t>
      </w:r>
    </w:p>
    <w:p>
      <w:pPr>
        <w:pStyle w:val="FirstParagraph"/>
      </w:pPr>
      <w:r>
        <w:t xml:space="preserve">We adopt TBA’s finding that PGE behaved prudently with respect to the steam generator degradation. However, we disallow the steam generator costs incurred since 1991 and exclude the cost of replacing the steam generators from the imputed costs of running Trojan in the net benefits analysis. Although PGE’s behavior was not faulty, PGE and the ratepayers are the only two parties to whom we can assign or impute steam generator costs. As between those two parties, PGE is better situated to recover its costs from the manufacturer of the steam generators. Moreover, it is fair that shareholders bear some of the consequences of management investment decisions.</w:t>
      </w:r>
    </w:p>
    <w:bookmarkEnd w:id="31"/>
    <w:bookmarkStart w:id="32" w:name="trojan-key-part-3"/>
    <w:p>
      <w:pPr>
        <w:pStyle w:val="Heading2"/>
      </w:pPr>
      <w:r>
        <w:t xml:space="preserve">Trojan Key Part 3</w:t>
      </w:r>
    </w:p>
    <w:p>
      <w:pPr>
        <w:pStyle w:val="FirstParagraph"/>
      </w:pPr>
      <w:r>
        <w:t xml:space="preserve">These conclusions result in a disallowance of 13.0 percent of the remaining Trojan costs, which will be borne by shareholders, not ratepayers. That result approximates a scenario in which Trojan was reasonably operated and managed. In the main, the disallowances correct for avoidable costs.</w:t>
      </w:r>
    </w:p>
    <w:bookmarkEnd w:id="32"/>
    <w:bookmarkStart w:id="33" w:name="trojan-key-part-4"/>
    <w:p>
      <w:pPr>
        <w:pStyle w:val="Heading2"/>
      </w:pPr>
      <w:r>
        <w:t xml:space="preserve">Trojan Key Part 4</w:t>
      </w:r>
    </w:p>
    <w:p>
      <w:pPr>
        <w:pStyle w:val="FirstParagraph"/>
      </w:pPr>
      <w:r>
        <w:t xml:space="preserve">PGE would incur decommissioning and transition costs regardless of when the plant was taken out of service, and the company has already been paying into a decommissioning fund. Because Trojan was shut down before the end of its license life, however, payments into the fund will have to increase for a time.</w:t>
      </w:r>
    </w:p>
    <w:bookmarkEnd w:id="33"/>
    <w:bookmarkStart w:id="34" w:name="pacificorp-wind-projects"/>
    <w:p>
      <w:pPr>
        <w:pStyle w:val="Heading2"/>
      </w:pPr>
      <w:r>
        <w:t xml:space="preserve">PacifiCorp Wind Projects</w:t>
      </w:r>
    </w:p>
    <w:p>
      <w:pPr>
        <w:numPr>
          <w:ilvl w:val="0"/>
          <w:numId w:val="1010"/>
        </w:numPr>
        <w:pStyle w:val="Compact"/>
      </w:pPr>
      <w:r>
        <w:t xml:space="preserve">Many projects but two</w:t>
      </w:r>
      <w:r>
        <w:t xml:space="preserve"> </w:t>
      </w:r>
      <w:r>
        <w:t xml:space="preserve">“</w:t>
      </w:r>
      <w:r>
        <w:t xml:space="preserve">Rolling Hills</w:t>
      </w:r>
      <w:r>
        <w:t xml:space="preserve">”</w:t>
      </w:r>
      <w:r>
        <w:t xml:space="preserve"> </w:t>
      </w:r>
      <w:r>
        <w:t xml:space="preserve">and</w:t>
      </w:r>
      <w:r>
        <w:t xml:space="preserve"> </w:t>
      </w:r>
      <w:r>
        <w:t xml:space="preserve">“</w:t>
      </w:r>
      <w:r>
        <w:t xml:space="preserve">Glenrock</w:t>
      </w:r>
      <w:r>
        <w:t xml:space="preserve">”</w:t>
      </w:r>
      <w:r>
        <w:t xml:space="preserve"> </w:t>
      </w:r>
      <w:r>
        <w:t xml:space="preserve">were very close.</w:t>
      </w:r>
    </w:p>
    <w:p>
      <w:pPr>
        <w:numPr>
          <w:ilvl w:val="0"/>
          <w:numId w:val="1010"/>
        </w:numPr>
        <w:pStyle w:val="Compact"/>
      </w:pPr>
      <w:r>
        <w:t xml:space="preserve">Appeared that project:</w:t>
      </w:r>
    </w:p>
    <w:p>
      <w:pPr>
        <w:numPr>
          <w:ilvl w:val="1"/>
          <w:numId w:val="1011"/>
        </w:numPr>
        <w:pStyle w:val="Compact"/>
      </w:pPr>
      <w:r>
        <w:t xml:space="preserve">Avoid bidding rules and other standards used to show prudence.</w:t>
      </w:r>
    </w:p>
    <w:p>
      <w:pPr>
        <w:numPr>
          <w:ilvl w:val="1"/>
          <w:numId w:val="1011"/>
        </w:numPr>
        <w:pStyle w:val="Compact"/>
      </w:pPr>
      <w:r>
        <w:t xml:space="preserve">The capacity factor, average divided by nameplate, was only 31%, which is very low for wind in WY.</w:t>
      </w:r>
    </w:p>
    <w:p>
      <w:pPr>
        <w:numPr>
          <w:ilvl w:val="1"/>
          <w:numId w:val="1011"/>
        </w:numPr>
        <w:pStyle w:val="Compact"/>
      </w:pPr>
      <w:r>
        <w:t xml:space="preserve">Rushed to get tax credits and meet the new Renewable Portfolio Standard</w:t>
      </w:r>
    </w:p>
    <w:p>
      <w:pPr>
        <w:pStyle w:val="FirstParagraph"/>
      </w:pPr>
      <w:r>
        <w:t xml:space="preserve">Acronyms:</w:t>
      </w:r>
    </w:p>
    <w:p>
      <w:pPr>
        <w:numPr>
          <w:ilvl w:val="0"/>
          <w:numId w:val="1012"/>
        </w:numPr>
        <w:pStyle w:val="Compact"/>
      </w:pPr>
      <w:r>
        <w:t xml:space="preserve">Industrial Customers of Northwest Utilities (ICNU)</w:t>
      </w:r>
    </w:p>
    <w:p>
      <w:pPr>
        <w:numPr>
          <w:ilvl w:val="0"/>
          <w:numId w:val="1012"/>
        </w:numPr>
        <w:pStyle w:val="Compact"/>
      </w:pPr>
      <w:r>
        <w:t xml:space="preserve">Renewable Adjustment Clause (RAC)</w:t>
      </w:r>
    </w:p>
    <w:bookmarkEnd w:id="34"/>
    <w:bookmarkStart w:id="35" w:name="rolling-hills-key-part-1"/>
    <w:p>
      <w:pPr>
        <w:pStyle w:val="Heading2"/>
      </w:pPr>
      <w:r>
        <w:t xml:space="preserve">Rolling Hills Key Part 1</w:t>
      </w:r>
    </w:p>
    <w:p>
      <w:pPr>
        <w:pStyle w:val="FirstParagraph"/>
      </w:pPr>
      <w:r>
        <w:t xml:space="preserve">Where the utility avoids the Guidelines, the burden of producing evidence remains with the utility. Pacific Power bears that burden of producing evidence in this case that its actions were prudent.</w:t>
      </w:r>
    </w:p>
    <w:p>
      <w:pPr>
        <w:pStyle w:val="BodyText"/>
      </w:pPr>
      <w:r>
        <w:t xml:space="preserve">…</w:t>
      </w:r>
    </w:p>
    <w:p>
      <w:pPr>
        <w:pStyle w:val="BodyText"/>
      </w:pPr>
      <w:r>
        <w:t xml:space="preserve">Because we find that Pacific Power failed to prove that it prudently acquired the Rolling Hills project, all costs associated with that project are excluded from the RAC cost recovery mechanism.</w:t>
      </w:r>
    </w:p>
    <w:bookmarkEnd w:id="35"/>
    <w:bookmarkStart w:id="36" w:name="rolling-hills-key-part-2"/>
    <w:p>
      <w:pPr>
        <w:pStyle w:val="Heading2"/>
      </w:pPr>
      <w:r>
        <w:t xml:space="preserve">Rolling Hills Key Part 2</w:t>
      </w:r>
    </w:p>
    <w:p>
      <w:pPr>
        <w:pStyle w:val="FirstParagraph"/>
      </w:pPr>
      <w:r>
        <w:t xml:space="preserve">ICNU suggested that Pacific Power be allowed to</w:t>
      </w:r>
      <w:r>
        <w:t xml:space="preserve"> </w:t>
      </w:r>
      <w:r>
        <w:t xml:space="preserve">“</w:t>
      </w:r>
      <w:r>
        <w:t xml:space="preserve">cure</w:t>
      </w:r>
      <w:r>
        <w:t xml:space="preserve">”</w:t>
      </w:r>
      <w:r>
        <w:t xml:space="preserve"> </w:t>
      </w:r>
      <w:r>
        <w:t xml:space="preserve">its</w:t>
      </w:r>
      <w:r>
        <w:t xml:space="preserve"> </w:t>
      </w:r>
      <w:r>
        <w:t xml:space="preserve">“</w:t>
      </w:r>
      <w:r>
        <w:t xml:space="preserve">imprudence,</w:t>
      </w:r>
      <w:r>
        <w:t xml:space="preserve">”</w:t>
      </w:r>
      <w:r>
        <w:t xml:space="preserve"> </w:t>
      </w:r>
      <w:r>
        <w:t xml:space="preserve">depending on the results of a future competitive bidding process. The finding that the Company failed to prove the prudence of its Rolling Hills project acquisition in this case applies only to the Company’s right to recover the costs of these projects in this RAC. Future ratemaking treatment of the Rolling Hills project will be taken up as appropriate.</w:t>
      </w:r>
    </w:p>
    <w:bookmarkEnd w:id="36"/>
    <w:bookmarkStart w:id="37" w:name="X48dcb720daa17c1d344c8a7a85a906b398aac93"/>
    <w:p>
      <w:pPr>
        <w:pStyle w:val="Heading2"/>
      </w:pPr>
      <w:r>
        <w:t xml:space="preserve">Rolling Hills Dissent by Beyer (Now OR Senate)</w:t>
      </w:r>
    </w:p>
    <w:p>
      <w:pPr>
        <w:pStyle w:val="FirstParagraph"/>
      </w:pPr>
      <w:r>
        <w:t xml:space="preserve">Not putting the Rolling Hills investment in rate base allows the Company to attempt to recover its investment by selling Rolling Hills output in the market or, perhaps, bidding the project or its output into a subsequent request for proposal to see how it stacks up against the competition.</w:t>
      </w:r>
    </w:p>
    <w:bookmarkEnd w:id="37"/>
    <w:bookmarkEnd w:id="38"/>
    <w:bookmarkStart w:id="49" w:name="regulated-rate-of-return"/>
    <w:p>
      <w:pPr>
        <w:pStyle w:val="Heading1"/>
      </w:pPr>
      <w:r>
        <w:t xml:space="preserve">Regulated Rate of Return</w:t>
      </w:r>
    </w:p>
    <w:bookmarkStart w:id="39" w:name="what-we-will-look-at"/>
    <w:p>
      <w:pPr>
        <w:pStyle w:val="Heading2"/>
      </w:pPr>
      <w:r>
        <w:t xml:space="preserve">What we will look at</w:t>
      </w:r>
    </w:p>
    <w:p>
      <w:pPr>
        <w:numPr>
          <w:ilvl w:val="0"/>
          <w:numId w:val="1013"/>
        </w:numPr>
        <w:pStyle w:val="Compact"/>
      </w:pPr>
      <w:r>
        <w:t xml:space="preserve">The effects of capital structure on the rate of return</w:t>
      </w:r>
    </w:p>
    <w:p>
      <w:pPr>
        <w:numPr>
          <w:ilvl w:val="0"/>
          <w:numId w:val="1013"/>
        </w:numPr>
        <w:pStyle w:val="Compact"/>
      </w:pPr>
      <w:r>
        <w:t xml:space="preserve">The rarity of using actual structure and a framework for choosing one in a regulatory framework.</w:t>
      </w:r>
    </w:p>
    <w:p>
      <w:pPr>
        <w:numPr>
          <w:ilvl w:val="0"/>
          <w:numId w:val="1013"/>
        </w:numPr>
        <w:pStyle w:val="Compact"/>
      </w:pPr>
      <w:r>
        <w:t xml:space="preserve">Technical problems:</w:t>
      </w:r>
    </w:p>
    <w:p>
      <w:pPr>
        <w:numPr>
          <w:ilvl w:val="1"/>
          <w:numId w:val="1014"/>
        </w:numPr>
        <w:pStyle w:val="Compact"/>
      </w:pPr>
      <w:r>
        <w:t xml:space="preserve">Subsidiarys</w:t>
      </w:r>
    </w:p>
    <w:p>
      <w:pPr>
        <w:numPr>
          <w:ilvl w:val="1"/>
          <w:numId w:val="1014"/>
        </w:numPr>
        <w:pStyle w:val="Compact"/>
      </w:pPr>
      <w:r>
        <w:t xml:space="preserve">Used assets</w:t>
      </w:r>
    </w:p>
    <w:p>
      <w:pPr>
        <w:numPr>
          <w:ilvl w:val="0"/>
          <w:numId w:val="1013"/>
        </w:numPr>
        <w:pStyle w:val="Compact"/>
      </w:pPr>
      <w:r>
        <w:t xml:space="preserve">Three ways to estimate ROE and a critique.</w:t>
      </w:r>
    </w:p>
    <w:bookmarkEnd w:id="39"/>
    <w:bookmarkStart w:id="40" w:name="earnings-volitility-and-debt"/>
    <w:p>
      <w:pPr>
        <w:pStyle w:val="Heading2"/>
      </w:pPr>
      <w:r>
        <w:t xml:space="preserve">Earnings Volitility and Debt</w:t>
      </w:r>
    </w:p>
    <w:p>
      <w:pPr>
        <w:pStyle w:val="FirstParagraph"/>
      </w:pPr>
      <w:r>
        <w:t xml:space="preserve">The capital structure plays a big part in the return on common equity (ROE).</w:t>
      </w:r>
    </w:p>
    <w:p>
      <w:pPr>
        <w:pStyle w:val="BodyText"/>
      </w:pPr>
      <w:r>
        <w:t xml:space="preserve">Consider a firm with:</w:t>
      </w:r>
    </w:p>
    <w:p>
      <w:pPr>
        <w:numPr>
          <w:ilvl w:val="0"/>
          <w:numId w:val="1015"/>
        </w:numPr>
        <w:pStyle w:val="Compact"/>
      </w:pPr>
      <w:r>
        <w:t xml:space="preserve">Some capital,</w:t>
      </w:r>
      <w:r>
        <w:t xml:space="preserve"> </w:t>
      </w:r>
      <m:oMath>
        <m:r>
          <m:t>K</m:t>
        </m:r>
      </m:oMath>
      <w:r>
        <w:t xml:space="preserve">.</w:t>
      </w:r>
    </w:p>
    <w:p>
      <w:pPr>
        <w:numPr>
          <w:ilvl w:val="0"/>
          <w:numId w:val="1015"/>
        </w:numPr>
        <w:pStyle w:val="Compact"/>
      </w:pPr>
      <w:r>
        <w:t xml:space="preserve">A return on assets,</w:t>
      </w:r>
      <w:r>
        <w:t xml:space="preserve"> </w:t>
      </w:r>
      <m:oMath>
        <m:r>
          <m:t>β</m:t>
        </m:r>
      </m:oMath>
      <w:r>
        <w:t xml:space="preserve">, that is random with a mean of 10% and a known standard deviation, 3%.</w:t>
      </w:r>
    </w:p>
    <w:p>
      <w:pPr>
        <w:numPr>
          <w:ilvl w:val="0"/>
          <w:numId w:val="1015"/>
        </w:numPr>
        <w:pStyle w:val="Compact"/>
      </w:pPr>
      <w:r>
        <w:t xml:space="preserve">Some,</w:t>
      </w:r>
      <w:r>
        <w:t xml:space="preserve"> </w:t>
      </w:r>
      <m:oMath>
        <m:r>
          <m:t>α</m:t>
        </m:r>
      </m:oMath>
      <w:r>
        <w:t xml:space="preserve">, of the capital was funded by bonds that have an interest rate of 8%.</w:t>
      </w:r>
    </w:p>
    <w:p>
      <w:pPr>
        <w:numPr>
          <w:ilvl w:val="0"/>
          <w:numId w:val="1015"/>
        </w:numPr>
        <w:pStyle w:val="Compact"/>
      </w:pPr>
      <w:r>
        <w:t xml:space="preserve">There are no other costs</w:t>
      </w:r>
    </w:p>
    <w:bookmarkEnd w:id="40"/>
    <w:bookmarkStart w:id="41" w:name="earnings-volitility"/>
    <w:p>
      <w:pPr>
        <w:pStyle w:val="Heading2"/>
      </w:pPr>
      <w:r>
        <w:t xml:space="preserve">Earnings Volitility</w:t>
      </w:r>
    </w:p>
    <w:p>
      <w:pPr>
        <w:numPr>
          <w:ilvl w:val="0"/>
          <w:numId w:val="1016"/>
        </w:numPr>
        <w:pStyle w:val="Compact"/>
      </w:pPr>
      <w:r>
        <w:t xml:space="preserve">When the firm runs, profits should be,</w:t>
      </w:r>
      <w:r>
        <w:t xml:space="preserve"> </w:t>
      </w:r>
      <m:oMath>
        <m:r>
          <m:t>β</m:t>
        </m:r>
        <m:r>
          <m:t>K</m:t>
        </m:r>
      </m:oMath>
      <w:r>
        <w:t xml:space="preserve">.</w:t>
      </w:r>
    </w:p>
    <w:p>
      <w:pPr>
        <w:numPr>
          <w:ilvl w:val="0"/>
          <w:numId w:val="1016"/>
        </w:numPr>
        <w:pStyle w:val="Compact"/>
      </w:pPr>
      <w:r>
        <w:t xml:space="preserve">Then when you pay the bond holders interest you have,</w:t>
      </w:r>
      <w:r>
        <w:t xml:space="preserve"> </w:t>
      </w:r>
      <m:oMath>
        <m:r>
          <m:t>β</m:t>
        </m:r>
        <m:r>
          <m:t>K</m:t>
        </m:r>
        <m:r>
          <m:t>−</m:t>
        </m:r>
        <m:r>
          <m:t>.08</m:t>
        </m:r>
        <m:r>
          <m:t>α</m:t>
        </m:r>
        <m:r>
          <m:t>K</m:t>
        </m:r>
      </m:oMath>
      <w:r>
        <w:t xml:space="preserve">.</w:t>
      </w:r>
    </w:p>
    <w:p>
      <w:pPr>
        <w:numPr>
          <w:ilvl w:val="1"/>
          <w:numId w:val="1017"/>
        </w:numPr>
        <w:pStyle w:val="Compact"/>
      </w:pPr>
      <m:oMath>
        <m:r>
          <m:t>α</m:t>
        </m:r>
        <m:r>
          <m:t>K</m:t>
        </m:r>
      </m:oMath>
      <w:r>
        <w:t xml:space="preserve"> </w:t>
      </w:r>
      <w:r>
        <w:t xml:space="preserve">is the capital financed by bonds</w:t>
      </w:r>
    </w:p>
    <w:p>
      <w:pPr>
        <w:numPr>
          <w:ilvl w:val="1"/>
          <w:numId w:val="1017"/>
        </w:numPr>
        <w:pStyle w:val="Compact"/>
      </w:pPr>
      <m:oMath>
        <m:r>
          <m:t>.08</m:t>
        </m:r>
        <m:r>
          <m:t>α</m:t>
        </m:r>
        <m:r>
          <m:t>K</m:t>
        </m:r>
      </m:oMath>
      <w:r>
        <w:t xml:space="preserve"> </w:t>
      </w:r>
      <w:r>
        <w:t xml:space="preserve">is the interest.</w:t>
      </w:r>
    </w:p>
    <w:p>
      <w:pPr>
        <w:numPr>
          <w:ilvl w:val="0"/>
          <w:numId w:val="1016"/>
        </w:numPr>
        <w:pStyle w:val="Compact"/>
      </w:pPr>
      <w:r>
        <w:t xml:space="preserve">Dividing by the capital owned by shareholders,</w:t>
      </w:r>
      <w:r>
        <w:t xml:space="preserve"> </w:t>
      </w:r>
      <m:oMath>
        <m:r>
          <m:t>(</m:t>
        </m:r>
        <m:r>
          <m:t>1</m:t>
        </m:r>
        <m:r>
          <m:t>−</m:t>
        </m:r>
        <m:r>
          <m:t>α</m:t>
        </m:r>
        <m:r>
          <m:t>)</m:t>
        </m:r>
        <m:r>
          <m:t>K</m:t>
        </m:r>
      </m:oMath>
      <w:r>
        <w:t xml:space="preserve"> </w:t>
      </w:r>
      <w:r>
        <w:t xml:space="preserve">gives the return on equity</w:t>
      </w:r>
    </w:p>
    <w:p>
      <w:pPr>
        <w:pStyle w:val="FirstParagraph"/>
      </w:pPr>
      <m:oMathPara>
        <m:oMathParaPr>
          <m:jc m:val="center"/>
        </m:oMathParaPr>
        <m:oMath>
          <m:r>
            <m:t>R</m:t>
          </m:r>
          <m:r>
            <m:t>O</m:t>
          </m:r>
          <m:r>
            <m:t>E</m:t>
          </m:r>
          <m:r>
            <m:t>=</m:t>
          </m:r>
          <m:f>
            <m:fPr>
              <m:type m:val="bar"/>
            </m:fPr>
            <m:num>
              <m:r>
                <m:t>β</m:t>
              </m:r>
              <m:r>
                <m:t>K</m:t>
              </m:r>
              <m:r>
                <m:t>−</m:t>
              </m:r>
              <m:r>
                <m:t>.08</m:t>
              </m:r>
              <m:r>
                <m:t>α</m:t>
              </m:r>
              <m:r>
                <m:t>K</m:t>
              </m:r>
            </m:num>
            <m:den>
              <m:r>
                <m:t>(</m:t>
              </m:r>
              <m:r>
                <m:t>1</m:t>
              </m:r>
              <m:r>
                <m:t>−</m:t>
              </m:r>
              <m:r>
                <m:t>α</m:t>
              </m:r>
              <m:r>
                <m:t>)</m:t>
              </m:r>
              <m:r>
                <m:t>K</m:t>
              </m:r>
            </m:den>
          </m:f>
        </m:oMath>
      </m:oMathPara>
    </w:p>
    <w:bookmarkEnd w:id="41"/>
    <w:bookmarkStart w:id="43" w:name="simulated-earnings-volitility"/>
    <w:p>
      <w:pPr>
        <w:pStyle w:val="Heading2"/>
      </w:pPr>
      <w:r>
        <w:t xml:space="preserve">Simulated Earnings Volitility</w:t>
      </w:r>
    </w:p>
    <w:p>
      <w:pPr>
        <w:pStyle w:val="FirstParagraph"/>
      </w:pPr>
      <w:r>
        <w:drawing>
          <wp:inline>
            <wp:extent cx="4620126" cy="3696101"/>
            <wp:effectExtent b="0" l="0" r="0" t="0"/>
            <wp:docPr descr="" title="" id="1" name="Picture"/>
            <a:graphic>
              <a:graphicData uri="http://schemas.openxmlformats.org/drawingml/2006/picture">
                <pic:pic>
                  <pic:nvPicPr>
                    <pic:cNvPr descr="CostMeasurements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volitility"/>
    <w:p>
      <w:pPr>
        <w:pStyle w:val="Heading2"/>
      </w:pPr>
      <w:r>
        <w:t xml:space="preserve">Volitility</w:t>
      </w:r>
    </w:p>
    <w:p>
      <w:pPr>
        <w:numPr>
          <w:ilvl w:val="0"/>
          <w:numId w:val="1018"/>
        </w:numPr>
        <w:pStyle w:val="Compact"/>
      </w:pPr>
      <w:r>
        <w:t xml:space="preserve">As the debt ratio, fraction of capital funded by bonds, increases:</w:t>
      </w:r>
    </w:p>
    <w:p>
      <w:pPr>
        <w:numPr>
          <w:ilvl w:val="1"/>
          <w:numId w:val="1019"/>
        </w:numPr>
        <w:pStyle w:val="Compact"/>
      </w:pPr>
      <w:r>
        <w:t xml:space="preserve">The average return increases.</w:t>
      </w:r>
    </w:p>
    <w:p>
      <w:pPr>
        <w:numPr>
          <w:ilvl w:val="1"/>
          <w:numId w:val="1019"/>
        </w:numPr>
        <w:pStyle w:val="Compact"/>
      </w:pPr>
      <w:r>
        <w:t xml:space="preserve">The variance of returns increases.</w:t>
      </w:r>
    </w:p>
    <w:p>
      <w:pPr>
        <w:numPr>
          <w:ilvl w:val="1"/>
          <w:numId w:val="1019"/>
        </w:numPr>
        <w:pStyle w:val="Compact"/>
      </w:pPr>
      <w:r>
        <w:t xml:space="preserve">The probability of negative returns increases</w:t>
      </w:r>
    </w:p>
    <w:bookmarkEnd w:id="44"/>
    <w:bookmarkStart w:id="45" w:name="regulated-rate-of-return-1"/>
    <w:p>
      <w:pPr>
        <w:pStyle w:val="Heading2"/>
      </w:pPr>
      <w:r>
        <w:t xml:space="preserve">Regulated rate of return</w:t>
      </w:r>
    </w:p>
    <w:p>
      <w:pPr>
        <w:pStyle w:val="FirstParagraph"/>
      </w:pPr>
      <w:r>
        <w:t xml:space="preserve">The usual system for the regulated rate of return is to use a weighted average of the returns on all sources of funds. In our simple model, we have just bonds and equity.</w:t>
      </w:r>
    </w:p>
    <w:p>
      <w:pPr>
        <w:pStyle w:val="BodyText"/>
      </w:pPr>
      <m:oMathPara>
        <m:oMathParaPr>
          <m:jc m:val="center"/>
        </m:oMathParaPr>
        <m:oMath>
          <m:r>
            <m:t>R</m:t>
          </m:r>
          <m:r>
            <m:t>R</m:t>
          </m:r>
          <m:r>
            <m:t>R</m:t>
          </m:r>
          <m:r>
            <m:t>=</m:t>
          </m:r>
          <m:r>
            <m:t>α</m:t>
          </m:r>
          <m:r>
            <m:t>.08</m:t>
          </m:r>
          <m:r>
            <m:t>+</m:t>
          </m:r>
          <m:r>
            <m:t>(</m:t>
          </m:r>
          <m:r>
            <m:t>1</m:t>
          </m:r>
          <m:r>
            <m:t>−</m:t>
          </m:r>
          <m:r>
            <m:t>α</m:t>
          </m:r>
          <m:r>
            <m:t>)</m:t>
          </m:r>
          <m:r>
            <m:t>R</m:t>
          </m:r>
          <m:r>
            <m:t>O</m:t>
          </m:r>
          <m:r>
            <m:t>E</m:t>
          </m:r>
        </m:oMath>
      </m:oMathPara>
    </w:p>
    <w:p>
      <w:pPr>
        <w:pStyle w:val="FirstParagraph"/>
      </w:pPr>
      <w:r>
        <w:t xml:space="preserve">Clearly, the mix is a choice variable for the firm but new bond and stock issuance typically need to go through the regulator.</w:t>
      </w:r>
    </w:p>
    <w:bookmarkEnd w:id="45"/>
    <w:bookmarkStart w:id="46" w:name="bond-rate"/>
    <w:p>
      <w:pPr>
        <w:pStyle w:val="Heading2"/>
      </w:pPr>
      <w:r>
        <w:t xml:space="preserve">Bond Rate</w:t>
      </w:r>
    </w:p>
    <w:p>
      <w:pPr>
        <w:pStyle w:val="FirstParagraph"/>
      </w:pPr>
      <w:r>
        <w:t xml:space="preserve">The bond rate is usually not controversial:</w:t>
      </w:r>
    </w:p>
    <w:p>
      <w:pPr>
        <w:numPr>
          <w:ilvl w:val="0"/>
          <w:numId w:val="1020"/>
        </w:numPr>
        <w:pStyle w:val="Compact"/>
      </w:pPr>
      <w:r>
        <w:t xml:space="preserve">Bonds issued by the utility complete with other firms on the basis of the probability of default.</w:t>
      </w:r>
    </w:p>
    <w:p>
      <w:pPr>
        <w:numPr>
          <w:ilvl w:val="0"/>
          <w:numId w:val="1020"/>
        </w:numPr>
        <w:pStyle w:val="Compact"/>
      </w:pPr>
      <w:r>
        <w:t xml:space="preserve">Bonds come with a face value, usually 1K and a coupon rate.</w:t>
      </w:r>
    </w:p>
    <w:p>
      <w:pPr>
        <w:numPr>
          <w:ilvl w:val="0"/>
          <w:numId w:val="1020"/>
        </w:numPr>
        <w:pStyle w:val="Compact"/>
      </w:pPr>
      <w:r>
        <w:t xml:space="preserve">If the coupon rate is too low for the risk the price of the bond falls, i.e., they trade at a discount.</w:t>
      </w:r>
    </w:p>
    <w:p>
      <w:pPr>
        <w:numPr>
          <w:ilvl w:val="0"/>
          <w:numId w:val="1020"/>
        </w:numPr>
        <w:pStyle w:val="Compact"/>
      </w:pPr>
      <w:r>
        <w:t xml:space="preserve">If the coupon rate is too high the price of the bond rises, i.e., they trade at a premium.</w:t>
      </w:r>
    </w:p>
    <w:p>
      <w:pPr>
        <w:pStyle w:val="FirstParagraph"/>
      </w:pPr>
      <w:r>
        <w:t xml:space="preserve">The number used is called the yield to maturity which is just the internal rate of return on the bond.</w:t>
      </w:r>
    </w:p>
    <w:bookmarkEnd w:id="46"/>
    <w:bookmarkStart w:id="47" w:name="yield-to-maturity"/>
    <w:p>
      <w:pPr>
        <w:pStyle w:val="Heading2"/>
      </w:pPr>
      <w:r>
        <w:t xml:space="preserve">Yield to Maturity</w:t>
      </w:r>
    </w:p>
    <w:p>
      <w:pPr>
        <w:pStyle w:val="FirstParagraph"/>
      </w:pPr>
      <w:r>
        <w:t xml:space="preserve">Simple case of a bond:</w:t>
      </w:r>
    </w:p>
    <w:p>
      <w:pPr>
        <w:numPr>
          <w:ilvl w:val="0"/>
          <w:numId w:val="1021"/>
        </w:numPr>
        <w:pStyle w:val="Compact"/>
      </w:pPr>
      <w:r>
        <w:t xml:space="preserve">You buy now for</w:t>
      </w:r>
      <w:r>
        <w:t xml:space="preserve"> </w:t>
      </w:r>
      <m:oMath>
        <m:sSub>
          <m:e>
            <m:r>
              <m:t>P</m:t>
            </m:r>
          </m:e>
          <m:sub>
            <m:r>
              <m:t>0</m:t>
            </m:r>
          </m:sub>
        </m:sSub>
      </m:oMath>
    </w:p>
    <w:p>
      <w:pPr>
        <w:numPr>
          <w:ilvl w:val="0"/>
          <w:numId w:val="1021"/>
        </w:numPr>
        <w:pStyle w:val="Compact"/>
      </w:pPr>
      <w:r>
        <w:t xml:space="preserve">Has face value of</w:t>
      </w:r>
      <w:r>
        <w:t xml:space="preserve"> </w:t>
      </w:r>
      <m:oMath>
        <m:r>
          <m:t>P</m:t>
        </m:r>
      </m:oMath>
    </w:p>
    <w:p>
      <w:pPr>
        <w:numPr>
          <w:ilvl w:val="0"/>
          <w:numId w:val="1021"/>
        </w:numPr>
        <w:pStyle w:val="Compact"/>
      </w:pPr>
      <w:r>
        <w:t xml:space="preserve">Matures in</w:t>
      </w:r>
      <w:r>
        <w:t xml:space="preserve"> </w:t>
      </w:r>
      <m:oMath>
        <m:r>
          <m:t>N</m:t>
        </m:r>
      </m:oMath>
      <w:r>
        <w:t xml:space="preserve"> </w:t>
      </w:r>
      <w:r>
        <w:t xml:space="preserve">years.</w:t>
      </w:r>
    </w:p>
    <w:p>
      <w:pPr>
        <w:numPr>
          <w:ilvl w:val="0"/>
          <w:numId w:val="1021"/>
        </w:numPr>
        <w:pStyle w:val="Compact"/>
      </w:pPr>
      <w:r>
        <w:t xml:space="preserve">No coupons. These are typically purchased for way less than face value</w:t>
      </w:r>
    </w:p>
    <w:p>
      <w:pPr>
        <w:pStyle w:val="FirstParagraph"/>
      </w:pPr>
      <m:oMathPara>
        <m:oMathParaPr>
          <m:jc m:val="center"/>
        </m:oMathParaPr>
        <m:oMath>
          <m:sSup>
            <m:e>
              <m:d>
                <m:dPr>
                  <m:begChr m:val="("/>
                  <m:endChr m:val=")"/>
                  <m:grow/>
                </m:dPr>
                <m:e>
                  <m:f>
                    <m:fPr>
                      <m:type m:val="bar"/>
                    </m:fPr>
                    <m:num>
                      <m:r>
                        <m:t>P</m:t>
                      </m:r>
                    </m:num>
                    <m:den>
                      <m:sSub>
                        <m:e>
                          <m:r>
                            <m:t>P</m:t>
                          </m:r>
                        </m:e>
                        <m:sub>
                          <m:r>
                            <m:t>0</m:t>
                          </m:r>
                        </m:sub>
                      </m:sSub>
                    </m:den>
                  </m:f>
                </m:e>
              </m:d>
            </m:e>
            <m:sup>
              <m:f>
                <m:fPr>
                  <m:type m:val="bar"/>
                </m:fPr>
                <m:num>
                  <m:r>
                    <m:t>1</m:t>
                  </m:r>
                </m:num>
                <m:den>
                  <m:r>
                    <m:t>N</m:t>
                  </m:r>
                </m:den>
              </m:f>
            </m:sup>
          </m:sSup>
          <m:r>
            <m:t>−</m:t>
          </m:r>
          <m:r>
            <m:t>1</m:t>
          </m:r>
        </m:oMath>
      </m:oMathPara>
    </w:p>
    <w:p>
      <w:pPr>
        <w:pStyle w:val="FirstParagraph"/>
      </w:pPr>
      <w:r>
        <w:t xml:space="preserve">The case with coupons is more complex but you are finding the internal rate of return for the current purchase price and the face value and the coupon payments. EC314 Material if you are interested.</w:t>
      </w:r>
    </w:p>
    <w:bookmarkEnd w:id="47"/>
    <w:bookmarkStart w:id="48" w:name="where-things-get-ugly"/>
    <w:p>
      <w:pPr>
        <w:pStyle w:val="Heading2"/>
      </w:pPr>
      <w:r>
        <w:t xml:space="preserve">Where things Get Ugly</w:t>
      </w:r>
    </w:p>
    <w:p>
      <w:pPr>
        <w:numPr>
          <w:ilvl w:val="0"/>
          <w:numId w:val="1022"/>
        </w:numPr>
        <w:pStyle w:val="Compact"/>
      </w:pPr>
      <w:r>
        <w:t xml:space="preserve">The capital structure is a choice and you can manipulate the RRR by changing the capital structure.</w:t>
      </w:r>
    </w:p>
    <w:p>
      <w:pPr>
        <w:numPr>
          <w:ilvl w:val="0"/>
          <w:numId w:val="1022"/>
        </w:numPr>
        <w:pStyle w:val="Compact"/>
      </w:pPr>
      <w:r>
        <w:t xml:space="preserve">The ROE is circular:</w:t>
      </w:r>
    </w:p>
    <w:p>
      <w:pPr>
        <w:numPr>
          <w:ilvl w:val="1"/>
          <w:numId w:val="1023"/>
        </w:numPr>
        <w:pStyle w:val="Compact"/>
      </w:pPr>
      <w:r>
        <w:t xml:space="preserve">The value of the stock is determined by prices and profits</w:t>
      </w:r>
    </w:p>
    <w:p>
      <w:pPr>
        <w:numPr>
          <w:ilvl w:val="1"/>
          <w:numId w:val="1023"/>
        </w:numPr>
        <w:pStyle w:val="Compact"/>
      </w:pPr>
      <w:r>
        <w:t xml:space="preserve">Prices and profits are determined by the revenue requirement</w:t>
      </w:r>
    </w:p>
    <w:p>
      <w:pPr>
        <w:numPr>
          <w:ilvl w:val="1"/>
          <w:numId w:val="1023"/>
        </w:numPr>
        <w:pStyle w:val="Compact"/>
      </w:pPr>
      <w:r>
        <w:t xml:space="preserve">Which is determined on the change in the value of the stock and dividends</w:t>
      </w:r>
    </w:p>
    <w:p>
      <w:pPr>
        <w:numPr>
          <w:ilvl w:val="0"/>
          <w:numId w:val="1022"/>
        </w:numPr>
        <w:pStyle w:val="Compact"/>
      </w:pPr>
      <w:r>
        <w:t xml:space="preserve">Key point, you should not really use the firm’s own ROE and capital structure, but one constructed from what similar firms with competitive pressure, a quasi-experimental control group.</w:t>
      </w:r>
    </w:p>
    <w:bookmarkEnd w:id="48"/>
    <w:bookmarkEnd w:id="49"/>
    <w:bookmarkStart w:id="91" w:name="return-on-equity-roe"/>
    <w:p>
      <w:pPr>
        <w:pStyle w:val="Heading1"/>
      </w:pPr>
      <w:r>
        <w:t xml:space="preserve">Return on Equity (ROE)</w:t>
      </w:r>
    </w:p>
    <w:bookmarkStart w:id="51" w:name="X904209feb64b7dcbc9c715439feced7a7c047d8"/>
    <w:p>
      <w:pPr>
        <w:pStyle w:val="Heading2"/>
      </w:pPr>
      <w:r>
        <w:t xml:space="preserve">Usual Methods and an Unavoidable Assumption</w:t>
      </w:r>
    </w:p>
    <w:p>
      <w:pPr>
        <w:pStyle w:val="FirstParagraph"/>
      </w:pPr>
      <w:r>
        <w:t xml:space="preserve">Methods:</w:t>
      </w:r>
    </w:p>
    <w:p>
      <w:pPr>
        <w:numPr>
          <w:ilvl w:val="0"/>
          <w:numId w:val="1024"/>
        </w:numPr>
        <w:pStyle w:val="Compact"/>
      </w:pPr>
      <w:r>
        <w:t xml:space="preserve">Discounted Cash Flow (DCF)</w:t>
      </w:r>
    </w:p>
    <w:p>
      <w:pPr>
        <w:numPr>
          <w:ilvl w:val="0"/>
          <w:numId w:val="1024"/>
        </w:numPr>
        <w:pStyle w:val="Compact"/>
      </w:pPr>
      <w:r>
        <w:t xml:space="preserve">Capital Asset Pricing Model (CAPM)</w:t>
      </w:r>
    </w:p>
    <w:p>
      <w:pPr>
        <w:numPr>
          <w:ilvl w:val="0"/>
          <w:numId w:val="1024"/>
        </w:numPr>
        <w:pStyle w:val="Compact"/>
      </w:pPr>
      <w:r>
        <w:t xml:space="preserve">Risk Premium Model (RPM)</w:t>
      </w:r>
      <w:r>
        <w:t xml:space="preserve"> </w:t>
      </w:r>
      <w:r>
        <w:rPr>
          <w:i/>
        </w:rPr>
        <w:t xml:space="preserve">We will not cover.</w:t>
      </w:r>
    </w:p>
    <w:p>
      <w:pPr>
        <w:pStyle w:val="FirstParagraph"/>
      </w:pPr>
      <w:r>
        <w:t xml:space="preserve">Sitting under all of them is one of the efficient market assumptions.</w:t>
      </w:r>
    </w:p>
    <w:p>
      <w:pPr>
        <w:pStyle w:val="BodyText"/>
      </w:pPr>
      <w:r>
        <w:t xml:space="preserve">BTW a nice discussion of ROE be found at</w:t>
      </w:r>
      <w:r>
        <w:t xml:space="preserve"> </w:t>
      </w:r>
      <w:hyperlink r:id="rId50">
        <w:r>
          <w:rPr>
            <w:rStyle w:val="Hyperlink"/>
          </w:rPr>
          <w:t xml:space="preserve">http://stats.lib.pdx.edu/proxy.php?url=http://www.sciencedirect.com/science/article/pii/S1040619011001722</w:t>
        </w:r>
      </w:hyperlink>
    </w:p>
    <w:bookmarkEnd w:id="51"/>
    <w:bookmarkStart w:id="52" w:name="X0fef1d389e5b0b9b4673d81156b3d3cdf9f9c78"/>
    <w:p>
      <w:pPr>
        <w:pStyle w:val="Heading2"/>
      </w:pPr>
      <w:r>
        <w:t xml:space="preserve">Three Basic Kinds of Efficient Market Assumptions</w:t>
      </w:r>
    </w:p>
    <w:p>
      <w:pPr>
        <w:pStyle w:val="FirstParagraph"/>
      </w:pPr>
      <w:r>
        <w:t xml:space="preserve">Usefulness of information to predict future prices</w:t>
      </w:r>
    </w:p>
    <w:p>
      <w:pPr>
        <w:numPr>
          <w:ilvl w:val="0"/>
          <w:numId w:val="1025"/>
        </w:numPr>
        <w:pStyle w:val="Compact"/>
      </w:pPr>
      <w:r>
        <w:t xml:space="preserve">Weak: All past price data will not help.</w:t>
      </w:r>
      <w:r>
        <w:br/>
      </w:r>
    </w:p>
    <w:p>
      <w:pPr>
        <w:numPr>
          <w:ilvl w:val="0"/>
          <w:numId w:val="1025"/>
        </w:numPr>
        <w:pStyle w:val="Compact"/>
      </w:pPr>
      <w:r>
        <w:t xml:space="preserve">Semi-Strong: Public data does not help</w:t>
      </w:r>
    </w:p>
    <w:p>
      <w:pPr>
        <w:numPr>
          <w:ilvl w:val="0"/>
          <w:numId w:val="1025"/>
        </w:numPr>
        <w:pStyle w:val="Compact"/>
      </w:pPr>
      <w:r>
        <w:t xml:space="preserve">Strong: No data public or private can help</w:t>
      </w:r>
    </w:p>
    <w:bookmarkEnd w:id="52"/>
    <w:bookmarkStart w:id="53" w:name="grampa-ish-and-betting-on-horses"/>
    <w:p>
      <w:pPr>
        <w:pStyle w:val="Heading2"/>
      </w:pPr>
      <w:r>
        <w:t xml:space="preserve">Grampa Ish and Betting on Horses</w:t>
      </w:r>
    </w:p>
    <w:p>
      <w:pPr>
        <w:numPr>
          <w:ilvl w:val="0"/>
          <w:numId w:val="1026"/>
        </w:numPr>
        <w:pStyle w:val="Compact"/>
      </w:pPr>
      <w:r>
        <w:t xml:space="preserve">You don’t know who will win.</w:t>
      </w:r>
    </w:p>
    <w:p>
      <w:pPr>
        <w:numPr>
          <w:ilvl w:val="0"/>
          <w:numId w:val="1026"/>
        </w:numPr>
        <w:pStyle w:val="Compact"/>
      </w:pPr>
      <w:r>
        <w:t xml:space="preserve">Calculate your own odds of each horse.</w:t>
      </w:r>
    </w:p>
    <w:p>
      <w:pPr>
        <w:numPr>
          <w:ilvl w:val="0"/>
          <w:numId w:val="1026"/>
        </w:numPr>
        <w:pStyle w:val="Compact"/>
      </w:pPr>
      <w:r>
        <w:t xml:space="preserve">Bet the horse that is paying off more than you think it should.</w:t>
      </w:r>
    </w:p>
    <w:p>
      <w:pPr>
        <w:numPr>
          <w:ilvl w:val="0"/>
          <w:numId w:val="1026"/>
        </w:numPr>
        <w:pStyle w:val="Compact"/>
      </w:pPr>
      <w:r>
        <w:t xml:space="preserve">You win more often if you have your grandson talk to the jockeys.</w:t>
      </w:r>
    </w:p>
    <w:bookmarkEnd w:id="53"/>
    <w:bookmarkStart w:id="54" w:name="behavioral-finance"/>
    <w:p>
      <w:pPr>
        <w:pStyle w:val="Heading2"/>
      </w:pPr>
      <w:r>
        <w:t xml:space="preserve">Behavioral Finance</w:t>
      </w:r>
    </w:p>
    <w:p>
      <w:pPr>
        <w:numPr>
          <w:ilvl w:val="0"/>
          <w:numId w:val="1027"/>
        </w:numPr>
        <w:pStyle w:val="Compact"/>
      </w:pPr>
      <w:r>
        <w:t xml:space="preserve">Behavioral Economics has a brother.</w:t>
      </w:r>
    </w:p>
    <w:p>
      <w:pPr>
        <w:numPr>
          <w:ilvl w:val="0"/>
          <w:numId w:val="1027"/>
        </w:numPr>
        <w:pStyle w:val="Compact"/>
      </w:pPr>
      <w:r>
        <w:t xml:space="preserve">There are plenty of anomalies</w:t>
      </w:r>
    </w:p>
    <w:p>
      <w:pPr>
        <w:numPr>
          <w:ilvl w:val="1"/>
          <w:numId w:val="1028"/>
        </w:numPr>
        <w:pStyle w:val="Compact"/>
      </w:pPr>
      <w:r>
        <w:t xml:space="preserve">Monday Effect, French (1980)</w:t>
      </w:r>
    </w:p>
    <w:p>
      <w:pPr>
        <w:numPr>
          <w:ilvl w:val="1"/>
          <w:numId w:val="1028"/>
        </w:numPr>
        <w:pStyle w:val="Compact"/>
      </w:pPr>
      <w:r>
        <w:t xml:space="preserve">January Effect, Roll(1983)</w:t>
      </w:r>
    </w:p>
    <w:p>
      <w:pPr>
        <w:numPr>
          <w:ilvl w:val="1"/>
          <w:numId w:val="1028"/>
        </w:numPr>
        <w:pStyle w:val="Compact"/>
      </w:pPr>
      <w:r>
        <w:t xml:space="preserve">Firm Size, Banz(1981)</w:t>
      </w:r>
    </w:p>
    <w:p>
      <w:pPr>
        <w:numPr>
          <w:ilvl w:val="1"/>
          <w:numId w:val="1028"/>
        </w:numPr>
        <w:pStyle w:val="Compact"/>
      </w:pPr>
      <w:r>
        <w:t xml:space="preserve">Mean Reversion, DeBondt and Thaler (1985)</w:t>
      </w:r>
    </w:p>
    <w:p>
      <w:pPr>
        <w:numPr>
          <w:ilvl w:val="1"/>
          <w:numId w:val="1028"/>
        </w:numPr>
        <w:pStyle w:val="Compact"/>
      </w:pPr>
      <w:r>
        <w:t xml:space="preserve">Momentum, Jegadeesh (1990)</w:t>
      </w:r>
    </w:p>
    <w:p>
      <w:pPr>
        <w:numPr>
          <w:ilvl w:val="0"/>
          <w:numId w:val="1027"/>
        </w:numPr>
        <w:pStyle w:val="Compact"/>
      </w:pPr>
      <w:r>
        <w:t xml:space="preserve">Anomalies get smaller after a paper about it is published.</w:t>
      </w:r>
    </w:p>
    <w:p>
      <w:pPr>
        <w:numPr>
          <w:ilvl w:val="0"/>
          <w:numId w:val="1027"/>
        </w:numPr>
        <w:pStyle w:val="Compact"/>
      </w:pPr>
      <w:r>
        <w:t xml:space="preserve">Many critiques have to do with statistical details.</w:t>
      </w:r>
    </w:p>
    <w:bookmarkEnd w:id="54"/>
    <w:bookmarkStart w:id="55" w:name="comparable-data"/>
    <w:p>
      <w:pPr>
        <w:pStyle w:val="Heading2"/>
      </w:pPr>
      <w:r>
        <w:t xml:space="preserve">Comparable Data</w:t>
      </w:r>
    </w:p>
    <w:p>
      <w:pPr>
        <w:pStyle w:val="FirstParagraph"/>
      </w:pPr>
      <w:r>
        <w:t xml:space="preserve">The intent is to have observations of a firm just like the one being regulated but without the effect of regulation.</w:t>
      </w:r>
    </w:p>
    <w:p>
      <w:pPr>
        <w:numPr>
          <w:ilvl w:val="0"/>
          <w:numId w:val="1029"/>
        </w:numPr>
        <w:pStyle w:val="Compact"/>
      </w:pPr>
      <w:r>
        <w:t xml:space="preserve">The intent is a quasi-experimental control.</w:t>
      </w:r>
    </w:p>
    <w:p>
      <w:pPr>
        <w:numPr>
          <w:ilvl w:val="0"/>
          <w:numId w:val="1029"/>
        </w:numPr>
        <w:pStyle w:val="Compact"/>
      </w:pPr>
      <w:r>
        <w:t xml:space="preserve">Comparability is easier to work with for populations but harder for an individual.</w:t>
      </w:r>
    </w:p>
    <w:p>
      <w:pPr>
        <w:numPr>
          <w:ilvl w:val="1"/>
          <w:numId w:val="1030"/>
        </w:numPr>
        <w:pStyle w:val="Compact"/>
      </w:pPr>
      <w:r>
        <w:t xml:space="preserve">There is no perfect match</w:t>
      </w:r>
    </w:p>
    <w:p>
      <w:pPr>
        <w:numPr>
          <w:ilvl w:val="1"/>
          <w:numId w:val="1030"/>
        </w:numPr>
        <w:pStyle w:val="Compact"/>
      </w:pPr>
      <w:r>
        <w:t xml:space="preserve">The Parable of the Cookie and Parent’s Problem.</w:t>
      </w:r>
    </w:p>
    <w:bookmarkEnd w:id="55"/>
    <w:bookmarkStart w:id="56" w:name="typical-variables-used-to-find-matches"/>
    <w:p>
      <w:pPr>
        <w:pStyle w:val="Heading2"/>
      </w:pPr>
      <w:r>
        <w:t xml:space="preserve">Typical Variables Used to find matches</w:t>
      </w:r>
    </w:p>
    <w:p>
      <w:pPr>
        <w:numPr>
          <w:ilvl w:val="0"/>
          <w:numId w:val="1031"/>
        </w:numPr>
        <w:pStyle w:val="Compact"/>
      </w:pPr>
      <w:r>
        <w:t xml:space="preserve">Same industry – Duh</w:t>
      </w:r>
    </w:p>
    <w:p>
      <w:pPr>
        <w:numPr>
          <w:ilvl w:val="0"/>
          <w:numId w:val="1031"/>
        </w:numPr>
        <w:pStyle w:val="Compact"/>
      </w:pPr>
      <w:r>
        <w:t xml:space="preserve">Bond rating – Moody’s, S&amp;P is normal and there is a short term and long term rating, but they don’t overlap</w:t>
      </w:r>
    </w:p>
    <w:p>
      <w:pPr>
        <w:numPr>
          <w:ilvl w:val="0"/>
          <w:numId w:val="1031"/>
        </w:numPr>
        <w:pStyle w:val="Compact"/>
      </w:pPr>
      <w:r>
        <w:t xml:space="preserve">Beta (A measure of market risk), if you are</w:t>
      </w:r>
      <w:r>
        <w:t xml:space="preserve"> </w:t>
      </w:r>
      <w:r>
        <w:rPr>
          <w:i/>
        </w:rPr>
        <w:t xml:space="preserve">not</w:t>
      </w:r>
      <w:r>
        <w:t xml:space="preserve"> </w:t>
      </w:r>
      <w:r>
        <w:t xml:space="preserve">doing CAPM</w:t>
      </w:r>
    </w:p>
    <w:p>
      <w:pPr>
        <w:numPr>
          <w:ilvl w:val="0"/>
          <w:numId w:val="1031"/>
        </w:numPr>
        <w:pStyle w:val="Compact"/>
      </w:pPr>
      <w:r>
        <w:t xml:space="preserve">Market Capitalization, Stock price times shares outstanding</w:t>
      </w:r>
    </w:p>
    <w:p>
      <w:pPr>
        <w:numPr>
          <w:ilvl w:val="0"/>
          <w:numId w:val="1031"/>
        </w:numPr>
        <w:pStyle w:val="Compact"/>
      </w:pPr>
      <w:r>
        <w:t xml:space="preserve">Fraction of revenues from regulated operations, There is a regulated and a merchant generation side for the most part.</w:t>
      </w:r>
      <w:r>
        <w:br/>
      </w:r>
    </w:p>
    <w:p>
      <w:pPr>
        <w:numPr>
          <w:ilvl w:val="0"/>
          <w:numId w:val="1031"/>
        </w:numPr>
        <w:pStyle w:val="Compact"/>
      </w:pPr>
      <w:r>
        <w:t xml:space="preserve">MORE?</w:t>
      </w:r>
    </w:p>
    <w:bookmarkEnd w:id="56"/>
    <w:bookmarkStart w:id="58" w:name="sample-from-a-ferc-case"/>
    <w:p>
      <w:pPr>
        <w:pStyle w:val="Heading2"/>
      </w:pPr>
      <w:r>
        <w:t xml:space="preserve">Sample From a FERC Case</w:t>
      </w:r>
    </w:p>
    <w:p>
      <w:pPr>
        <w:pStyle w:val="FirstParagraph"/>
      </w:pPr>
      <w:r>
        <w:t xml:space="preserve">They spent 129 pages on the inclusion of basically one observation.</w:t>
      </w:r>
    </w:p>
    <w:p>
      <w:pPr>
        <w:pStyle w:val="BodyText"/>
      </w:pPr>
      <w:hyperlink r:id="rId57">
        <w:r>
          <w:rPr>
            <w:rStyle w:val="Hyperlink"/>
          </w:rPr>
          <w:t xml:space="preserve">https://www.ferc.gov/CalendarFiles/20160928194709-EL14-12-002.pdf</w:t>
        </w:r>
      </w:hyperlink>
    </w:p>
    <w:p>
      <w:pPr>
        <w:pStyle w:val="BodyText"/>
      </w:pPr>
      <w:r>
        <w:t xml:space="preserve">The Commission uses the following standards to select the proxy group: (1) a national group of companies considered electric utilities by Value Line Investment Survey (Value Line); (2) the inclusion of companies with credit ratings no more than one notch above or below the utility or utilities whose rate is at issue; (3) the inclusion of companies that pay dividends and have neither made nor announced a dividend cut during the six-month study period; (4) the inclusion of companies with no major merger activity during the six-month study period; and (5) companies whose DCF results pass threshold tests of economic logic.</w:t>
      </w:r>
    </w:p>
    <w:bookmarkEnd w:id="58"/>
    <w:bookmarkStart w:id="59" w:name="number-of-observations"/>
    <w:p>
      <w:pPr>
        <w:pStyle w:val="Heading2"/>
      </w:pPr>
      <w:r>
        <w:t xml:space="preserve">Number of Observations</w:t>
      </w:r>
    </w:p>
    <w:p>
      <w:pPr>
        <w:pStyle w:val="FirstParagraph"/>
      </w:pPr>
      <w:r>
        <w:t xml:space="preserve">In order to establish a proxy group, the Presiding Judge reviewed the DCF determined cost of equity for 42 companies. The Presiding Judge determined that 37 of those companies should be included in the proxy group. Of those companies, the lowest cost of equity was Public Service Enterprise Group’s 7.23 percent and the highest cost was TECO’s 11.35 percent</w:t>
      </w:r>
    </w:p>
    <w:bookmarkEnd w:id="59"/>
    <w:bookmarkStart w:id="60" w:name="what"/>
    <w:p>
      <w:pPr>
        <w:pStyle w:val="Heading2"/>
      </w:pPr>
      <w:r>
        <w:t xml:space="preserve">What?</w:t>
      </w:r>
    </w:p>
    <w:p>
      <w:pPr>
        <w:numPr>
          <w:ilvl w:val="0"/>
          <w:numId w:val="1032"/>
        </w:numPr>
        <w:pStyle w:val="Compact"/>
      </w:pPr>
      <w:r>
        <w:t xml:space="preserve">You can estimate the standard deviation as</w:t>
      </w:r>
      <w:r>
        <w:t xml:space="preserve"> </w:t>
      </w:r>
      <m:oMath>
        <m:f>
          <m:fPr>
            <m:type m:val="bar"/>
          </m:fPr>
          <m:num>
            <m:r>
              <m:t>m</m:t>
            </m:r>
            <m:r>
              <m:t>a</m:t>
            </m:r>
            <m:r>
              <m:t>x</m:t>
            </m:r>
            <m:r>
              <m:t>−</m:t>
            </m:r>
            <m:r>
              <m:t>m</m:t>
            </m:r>
            <m:r>
              <m:t>i</m:t>
            </m:r>
            <m:r>
              <m:t>n</m:t>
            </m:r>
          </m:num>
          <m:den>
            <m:r>
              <m:t>4</m:t>
            </m:r>
          </m:den>
        </m:f>
      </m:oMath>
      <w:r>
        <w:t xml:space="preserve"> </w:t>
      </w:r>
      <w:r>
        <w:t xml:space="preserve">in this case,</w:t>
      </w:r>
      <w:r>
        <w:t xml:space="preserve"> </w:t>
      </w:r>
      <m:oMath>
        <m:f>
          <m:fPr>
            <m:type m:val="bar"/>
          </m:fPr>
          <m:num>
            <m:r>
              <m:t>(</m:t>
            </m:r>
            <m:r>
              <m:t>11.35</m:t>
            </m:r>
            <m:r>
              <m:t>−</m:t>
            </m:r>
            <m:r>
              <m:t>7.23</m:t>
            </m:r>
            <m:r>
              <m:t>)</m:t>
            </m:r>
          </m:num>
          <m:den>
            <m:r>
              <m:t>4</m:t>
            </m:r>
          </m:den>
        </m:f>
        <m:r>
          <m:t>=</m:t>
        </m:r>
        <m:r>
          <m:t>1.03</m:t>
        </m:r>
      </m:oMath>
      <w:r>
        <w:t xml:space="preserve">.</w:t>
      </w:r>
    </w:p>
    <w:p>
      <w:pPr>
        <w:numPr>
          <w:ilvl w:val="0"/>
          <w:numId w:val="1032"/>
        </w:numPr>
        <w:pStyle w:val="Compact"/>
      </w:pPr>
      <w:r>
        <w:t xml:space="preserve">The standard deviation of the mean is</w:t>
      </w:r>
      <w:r>
        <w:t xml:space="preserve"> </w:t>
      </w:r>
      <m:oMath>
        <m:f>
          <m:fPr>
            <m:type m:val="bar"/>
          </m:fPr>
          <m:num>
            <m:r>
              <m:t>1.03</m:t>
            </m:r>
          </m:num>
          <m:den>
            <m:r>
              <m:t>(</m:t>
            </m:r>
            <m:r>
              <m:t>37</m:t>
            </m:r>
            <m:sSup>
              <m:e>
                <m:r>
                  <m:t>)</m:t>
                </m:r>
              </m:e>
              <m:sup>
                <m:r>
                  <m:t>1</m:t>
                </m:r>
                <m:r>
                  <m:t>/</m:t>
                </m:r>
                <m:r>
                  <m:t>2</m:t>
                </m:r>
              </m:sup>
            </m:sSup>
          </m:den>
        </m:f>
        <m:r>
          <m:t>=</m:t>
        </m:r>
        <m:r>
          <m:t>0.169331</m:t>
        </m:r>
      </m:oMath>
      <w:r>
        <w:t xml:space="preserve">.</w:t>
      </w:r>
      <w:r>
        <w:br/>
      </w:r>
    </w:p>
    <w:p>
      <w:pPr>
        <w:numPr>
          <w:ilvl w:val="0"/>
          <w:numId w:val="1032"/>
        </w:numPr>
        <w:pStyle w:val="Compact"/>
      </w:pPr>
      <w:r>
        <w:t xml:space="preserve">That implies that the population mean is within +/- 0.3386619 of the mean.</w:t>
      </w:r>
    </w:p>
    <w:p>
      <w:pPr>
        <w:numPr>
          <w:ilvl w:val="0"/>
          <w:numId w:val="1032"/>
        </w:numPr>
        <w:pStyle w:val="Compact"/>
      </w:pPr>
      <w:r>
        <w:t xml:space="preserve">Clearly, if they had a larger proxy group they would have a larger N and a larger</w:t>
      </w:r>
      <w:r>
        <w:t xml:space="preserve"> </w:t>
      </w:r>
      <m:oMath>
        <m:rad>
          <m:radPr>
            <m:degHide m:val="1"/>
          </m:radPr>
          <m:deg/>
          <m:e>
            <m:r>
              <m:t>N</m:t>
            </m:r>
          </m:e>
        </m:rad>
      </m:oMath>
      <w:r>
        <w:t xml:space="preserve"> </w:t>
      </w:r>
      <w:r>
        <w:t xml:space="preserve">and less uncertainty about the mean.</w:t>
      </w:r>
    </w:p>
    <w:p>
      <w:pPr>
        <w:pStyle w:val="FirstParagraph"/>
      </w:pPr>
      <w:r>
        <w:t xml:space="preserve">They need a better definition of</w:t>
      </w:r>
      <w:r>
        <w:t xml:space="preserve"> </w:t>
      </w:r>
      <w:r>
        <w:t xml:space="preserve">“</w:t>
      </w:r>
      <w:r>
        <w:t xml:space="preserve">close</w:t>
      </w:r>
      <w:r>
        <w:t xml:space="preserve">”</w:t>
      </w:r>
      <w:r>
        <w:t xml:space="preserve"> </w:t>
      </w:r>
      <w:r>
        <w:t xml:space="preserve">for more defensible number but the current battle is over inclusion of a small number of observations.</w:t>
      </w:r>
    </w:p>
    <w:bookmarkEnd w:id="60"/>
    <w:bookmarkStart w:id="61" w:name="Xa7d32f58cc852f3c7e7a9be651b91375314c977"/>
    <w:p>
      <w:pPr>
        <w:pStyle w:val="Heading2"/>
      </w:pPr>
      <w:r>
        <w:t xml:space="preserve">Quasi-Experimental Methods is Hot in Econ</w:t>
      </w:r>
    </w:p>
    <w:p>
      <w:pPr>
        <w:numPr>
          <w:ilvl w:val="0"/>
          <w:numId w:val="1033"/>
        </w:numPr>
        <w:pStyle w:val="Compact"/>
      </w:pPr>
      <w:r>
        <w:t xml:space="preserve">Many fields have very strong standards for establishing causality</w:t>
      </w:r>
    </w:p>
    <w:p>
      <w:pPr>
        <w:numPr>
          <w:ilvl w:val="0"/>
          <w:numId w:val="1033"/>
        </w:numPr>
        <w:pStyle w:val="Compact"/>
      </w:pPr>
      <w:r>
        <w:t xml:space="preserve">We often use</w:t>
      </w:r>
    </w:p>
    <w:p>
      <w:pPr>
        <w:numPr>
          <w:ilvl w:val="1"/>
          <w:numId w:val="1034"/>
        </w:numPr>
        <w:pStyle w:val="Compact"/>
      </w:pPr>
      <w:r>
        <w:t xml:space="preserve">Coarsened Exact Matching</w:t>
      </w:r>
    </w:p>
    <w:p>
      <w:pPr>
        <w:numPr>
          <w:ilvl w:val="1"/>
          <w:numId w:val="1034"/>
        </w:numPr>
        <w:pStyle w:val="Compact"/>
      </w:pPr>
      <w:r>
        <w:t xml:space="preserve">Propensity Score Matching (General)</w:t>
      </w:r>
    </w:p>
    <w:p>
      <w:pPr>
        <w:numPr>
          <w:ilvl w:val="1"/>
          <w:numId w:val="1034"/>
        </w:numPr>
        <w:pStyle w:val="Compact"/>
      </w:pPr>
      <w:r>
        <w:t xml:space="preserve">NN matching</w:t>
      </w:r>
    </w:p>
    <w:p>
      <w:pPr>
        <w:numPr>
          <w:ilvl w:val="1"/>
          <w:numId w:val="1034"/>
        </w:numPr>
        <w:pStyle w:val="Compact"/>
      </w:pPr>
      <w:r>
        <w:t xml:space="preserve">Kernel …</w:t>
      </w:r>
    </w:p>
    <w:p>
      <w:pPr>
        <w:numPr>
          <w:ilvl w:val="0"/>
          <w:numId w:val="1033"/>
        </w:numPr>
        <w:pStyle w:val="Compact"/>
      </w:pPr>
      <w:r>
        <w:t xml:space="preserve">Regulators are still not there with this.</w:t>
      </w:r>
    </w:p>
    <w:p>
      <w:pPr>
        <w:pStyle w:val="FirstParagraph"/>
      </w:pPr>
      <w:r>
        <w:t xml:space="preserve">Key observation is to use several methods to get a reasonable range. If a proposed mix or ROE is in your range, stipulate.</w:t>
      </w:r>
    </w:p>
    <w:bookmarkEnd w:id="61"/>
    <w:bookmarkStart w:id="62" w:name="picking-comparable-firms"/>
    <w:p>
      <w:pPr>
        <w:pStyle w:val="Heading2"/>
      </w:pPr>
      <w:r>
        <w:t xml:space="preserve">Picking Comparable Firms</w:t>
      </w:r>
    </w:p>
    <w:p>
      <w:pPr>
        <w:pStyle w:val="FirstParagraph"/>
      </w:pPr>
      <w:r>
        <w:t xml:space="preserve">You need some measure of sameness but there are complications.</w:t>
      </w:r>
    </w:p>
    <w:p>
      <w:pPr>
        <w:numPr>
          <w:ilvl w:val="0"/>
          <w:numId w:val="1035"/>
        </w:numPr>
        <w:pStyle w:val="Compact"/>
      </w:pPr>
      <w:r>
        <w:t xml:space="preserve">With</w:t>
      </w:r>
      <w:r>
        <w:t xml:space="preserve"> </w:t>
      </w:r>
      <w:r>
        <w:rPr>
          <w:i/>
        </w:rPr>
        <w:t xml:space="preserve">categorical</w:t>
      </w:r>
      <w:r>
        <w:t xml:space="preserve"> </w:t>
      </w:r>
      <w:r>
        <w:t xml:space="preserve">or</w:t>
      </w:r>
      <w:r>
        <w:t xml:space="preserve"> </w:t>
      </w:r>
      <w:r>
        <w:rPr>
          <w:i/>
        </w:rPr>
        <w:t xml:space="preserve">ordinal</w:t>
      </w:r>
      <w:r>
        <w:t xml:space="preserve"> </w:t>
      </w:r>
      <w:r>
        <w:t xml:space="preserve">variables like bond rating it is easy to tell when same, AAA Bond,</w:t>
      </w:r>
    </w:p>
    <w:p>
      <w:pPr>
        <w:numPr>
          <w:ilvl w:val="1"/>
          <w:numId w:val="1036"/>
        </w:numPr>
        <w:pStyle w:val="Compact"/>
      </w:pPr>
      <w:r>
        <w:t xml:space="preserve">but is a AA bond rating more similar to an AAA or a A bond rating?</w:t>
      </w:r>
    </w:p>
    <w:p>
      <w:pPr>
        <w:numPr>
          <w:ilvl w:val="1"/>
          <w:numId w:val="1036"/>
        </w:numPr>
        <w:pStyle w:val="Compact"/>
      </w:pPr>
      <w:r>
        <w:t xml:space="preserve">What if you have several categorical variables and not all of them match?</w:t>
      </w:r>
    </w:p>
    <w:p>
      <w:pPr>
        <w:numPr>
          <w:ilvl w:val="0"/>
          <w:numId w:val="1035"/>
        </w:numPr>
        <w:pStyle w:val="Compact"/>
      </w:pPr>
      <w:r>
        <w:t xml:space="preserve">With</w:t>
      </w:r>
      <w:r>
        <w:t xml:space="preserve"> </w:t>
      </w:r>
      <w:r>
        <w:rPr>
          <w:i/>
        </w:rPr>
        <w:t xml:space="preserve">continous</w:t>
      </w:r>
      <w:r>
        <w:t xml:space="preserve"> </w:t>
      </w:r>
      <w:r>
        <w:t xml:space="preserve">variables you never get an exact match, but</w:t>
      </w:r>
    </w:p>
    <w:p>
      <w:pPr>
        <w:numPr>
          <w:ilvl w:val="1"/>
          <w:numId w:val="1037"/>
        </w:numPr>
        <w:pStyle w:val="Compact"/>
      </w:pPr>
      <w:r>
        <w:t xml:space="preserve">How close is close?</w:t>
      </w:r>
    </w:p>
    <w:p>
      <w:pPr>
        <w:numPr>
          <w:ilvl w:val="1"/>
          <w:numId w:val="1037"/>
        </w:numPr>
        <w:pStyle w:val="Compact"/>
      </w:pPr>
      <w:r>
        <w:t xml:space="preserve">How measure closeness when there are differences in more than one thing, market capitalization and beta, for example?</w:t>
      </w:r>
    </w:p>
    <w:bookmarkEnd w:id="62"/>
    <w:bookmarkStart w:id="63" w:name="exact-matches-categorical-and-ordinal"/>
    <w:p>
      <w:pPr>
        <w:pStyle w:val="Heading2"/>
      </w:pPr>
      <w:r>
        <w:t xml:space="preserve">Exact matches Categorical and Ordinal</w:t>
      </w:r>
    </w:p>
    <w:p>
      <w:pPr>
        <w:numPr>
          <w:ilvl w:val="0"/>
          <w:numId w:val="1038"/>
        </w:numPr>
        <w:pStyle w:val="Compact"/>
      </w:pPr>
      <w:r>
        <w:t xml:space="preserve">Most data will have a mix of continuous and categorical data</w:t>
      </w:r>
    </w:p>
    <w:p>
      <w:pPr>
        <w:numPr>
          <w:ilvl w:val="0"/>
          <w:numId w:val="1038"/>
        </w:numPr>
        <w:pStyle w:val="Compact"/>
      </w:pPr>
      <w:r>
        <w:t xml:space="preserve">Exact matches for categorical or ordinal data is easy,</w:t>
      </w:r>
      <w:r>
        <w:t xml:space="preserve"> </w:t>
      </w:r>
      <w:r>
        <w:t xml:space="preserve">“</w:t>
      </w:r>
      <w:r>
        <w:t xml:space="preserve">Is it the same</w:t>
      </w:r>
      <w:r>
        <w:t xml:space="preserve">”</w:t>
      </w:r>
      <w:r>
        <w:t xml:space="preserve"> </w:t>
      </w:r>
      <w:r>
        <w:t xml:space="preserve">or as you saw with FERC, one ordinal category different.</w:t>
      </w:r>
    </w:p>
    <w:bookmarkEnd w:id="63"/>
    <w:bookmarkStart w:id="64" w:name="for-continuous-data"/>
    <w:p>
      <w:pPr>
        <w:pStyle w:val="Heading2"/>
      </w:pPr>
      <w:r>
        <w:t xml:space="preserve">For continuous data</w:t>
      </w:r>
    </w:p>
    <w:p>
      <w:pPr>
        <w:pStyle w:val="FirstParagraph"/>
      </w:pPr>
      <w:r>
        <w:t xml:space="preserve">Take inspiration from optimal bandwidth in histograms.</w:t>
      </w:r>
    </w:p>
    <w:p>
      <w:pPr>
        <w:numPr>
          <w:ilvl w:val="0"/>
          <w:numId w:val="1039"/>
        </w:numPr>
        <w:pStyle w:val="Compact"/>
      </w:pPr>
      <w:r>
        <w:t xml:space="preserve">Start with a broad category, all electric utilities without mergers and acquisitions that provide dividends.</w:t>
      </w:r>
    </w:p>
    <w:p>
      <w:pPr>
        <w:numPr>
          <w:ilvl w:val="0"/>
          <w:numId w:val="1039"/>
        </w:numPr>
        <w:pStyle w:val="Compact"/>
      </w:pPr>
      <w:r>
        <w:t xml:space="preserve">Collect the data of interest, say beta</w:t>
      </w:r>
    </w:p>
    <w:p>
      <w:pPr>
        <w:numPr>
          <w:ilvl w:val="0"/>
          <w:numId w:val="1039"/>
        </w:numPr>
        <w:pStyle w:val="Compact"/>
      </w:pPr>
      <w:r>
        <w:t xml:space="preserve">Make a histogram and choose boxes by formula</w:t>
      </w:r>
    </w:p>
    <w:p>
      <w:pPr>
        <w:numPr>
          <w:ilvl w:val="1"/>
          <w:numId w:val="1040"/>
        </w:numPr>
        <w:pStyle w:val="Compact"/>
      </w:pPr>
      <w:r>
        <w:t xml:space="preserve">Sturges</w:t>
      </w:r>
      <w:r>
        <w:t xml:space="preserve"> </w:t>
      </w:r>
      <m:oMath>
        <m:r>
          <m:t>⌈</m:t>
        </m:r>
        <m:sSub>
          <m:e>
            <m:r>
              <m:rPr>
                <m:nor/>
                <m:sty m:val="p"/>
              </m:rPr>
              <m:t>log</m:t>
            </m:r>
          </m:e>
          <m:sub>
            <m:r>
              <m:t>2</m:t>
            </m:r>
          </m:sub>
        </m:sSub>
        <m:r>
          <m:t>n</m:t>
        </m:r>
        <m:r>
          <m:t>⌉</m:t>
        </m:r>
        <m:r>
          <m:t>+</m:t>
        </m:r>
        <m:r>
          <m:t>1</m:t>
        </m:r>
      </m:oMath>
    </w:p>
    <w:p>
      <w:pPr>
        <w:numPr>
          <w:ilvl w:val="1"/>
          <w:numId w:val="1040"/>
        </w:numPr>
        <w:pStyle w:val="Compact"/>
      </w:pPr>
      <w:r>
        <w:t xml:space="preserve">Rice</w:t>
      </w:r>
      <w:r>
        <w:t xml:space="preserve"> </w:t>
      </w:r>
      <m:oMath>
        <m:r>
          <m:t>⌈</m:t>
        </m:r>
        <m:r>
          <m:t>2</m:t>
        </m:r>
        <m:sSup>
          <m:e>
            <m:r>
              <m:t>n</m:t>
            </m:r>
          </m:e>
          <m:sup>
            <m:r>
              <m:t>1</m:t>
            </m:r>
            <m:r>
              <m:t>/</m:t>
            </m:r>
            <m:r>
              <m:t>3</m:t>
            </m:r>
          </m:sup>
        </m:sSup>
        <m:r>
          <m:t>⌉</m:t>
        </m:r>
      </m:oMath>
    </w:p>
    <w:p>
      <w:pPr>
        <w:numPr>
          <w:ilvl w:val="1"/>
          <w:numId w:val="1040"/>
        </w:numPr>
        <w:pStyle w:val="Compact"/>
      </w:pPr>
      <w:r>
        <w:t xml:space="preserve">Many many more</w:t>
      </w:r>
    </w:p>
    <w:p>
      <w:pPr>
        <w:numPr>
          <w:ilvl w:val="0"/>
          <w:numId w:val="1039"/>
        </w:numPr>
        <w:pStyle w:val="Compact"/>
      </w:pPr>
      <w:r>
        <w:t xml:space="preserve">Firms in the same box are comparators</w:t>
      </w:r>
    </w:p>
    <w:p>
      <w:pPr>
        <w:numPr>
          <w:ilvl w:val="0"/>
          <w:numId w:val="1039"/>
        </w:numPr>
        <w:pStyle w:val="Compact"/>
      </w:pPr>
      <w:r>
        <w:t xml:space="preserve">But this only works for one variable</w:t>
      </w:r>
    </w:p>
    <w:bookmarkEnd w:id="64"/>
    <w:bookmarkStart w:id="65" w:name="mahalanobis-family"/>
    <w:p>
      <w:pPr>
        <w:pStyle w:val="Heading2"/>
      </w:pPr>
      <w:r>
        <w:t xml:space="preserve">Mahalanobis Family</w:t>
      </w:r>
    </w:p>
    <w:p>
      <w:pPr>
        <w:pStyle w:val="FirstParagraph"/>
      </w:pPr>
      <w:r>
        <w:t xml:space="preserve">Mahalanobis distance is at the heart of many of many techniques that measure closeness for multiple continuous variables.</w:t>
      </w:r>
    </w:p>
    <w:p>
      <w:pPr>
        <w:pStyle w:val="BodyText"/>
      </w:pPr>
      <w:r>
        <w:t xml:space="preserve">Intuition:</w:t>
      </w:r>
    </w:p>
    <w:p>
      <w:pPr>
        <w:numPr>
          <w:ilvl w:val="0"/>
          <w:numId w:val="1041"/>
        </w:numPr>
        <w:pStyle w:val="Compact"/>
      </w:pPr>
      <w:r>
        <w:t xml:space="preserve">If the data has a big range, small differences</w:t>
      </w:r>
      <w:r>
        <w:t xml:space="preserve"> </w:t>
      </w:r>
      <w:r>
        <w:rPr>
          <w:i/>
        </w:rPr>
        <w:t xml:space="preserve">don’t</w:t>
      </w:r>
      <w:r>
        <w:t xml:space="preserve"> </w:t>
      </w:r>
      <w:r>
        <w:t xml:space="preserve">matter.</w:t>
      </w:r>
    </w:p>
    <w:p>
      <w:pPr>
        <w:numPr>
          <w:ilvl w:val="0"/>
          <w:numId w:val="1041"/>
        </w:numPr>
        <w:pStyle w:val="Compact"/>
      </w:pPr>
      <w:r>
        <w:t xml:space="preserve">If the data has a small range, small differences</w:t>
      </w:r>
      <w:r>
        <w:t xml:space="preserve"> </w:t>
      </w:r>
      <w:r>
        <w:rPr>
          <w:i/>
        </w:rPr>
        <w:t xml:space="preserve">do</w:t>
      </w:r>
      <w:r>
        <w:t xml:space="preserve"> </w:t>
      </w:r>
      <w:r>
        <w:t xml:space="preserve">matter.</w:t>
      </w:r>
    </w:p>
    <w:p>
      <w:pPr>
        <w:numPr>
          <w:ilvl w:val="0"/>
          <w:numId w:val="1041"/>
        </w:numPr>
        <w:pStyle w:val="Compact"/>
      </w:pPr>
      <w:r>
        <w:t xml:space="preserve">Distance should be based on the inverse of the variance,</w:t>
      </w:r>
      <w:r>
        <w:t xml:space="preserve"> </w:t>
      </w:r>
      <m:oMath>
        <m:f>
          <m:fPr>
            <m:type m:val="bar"/>
          </m:fPr>
          <m:num>
            <m:r>
              <m:t>1</m:t>
            </m:r>
          </m:num>
          <m:den>
            <m:sSup>
              <m:e>
                <m:r>
                  <m:t>σ</m:t>
                </m:r>
              </m:e>
              <m:sup>
                <m:r>
                  <m:t>2</m:t>
                </m:r>
              </m:sup>
            </m:sSup>
          </m:den>
        </m:f>
      </m:oMath>
      <w:r>
        <w:t xml:space="preserve">.</w:t>
      </w:r>
    </w:p>
    <w:p>
      <w:pPr>
        <w:numPr>
          <w:ilvl w:val="0"/>
          <w:numId w:val="1041"/>
        </w:numPr>
        <w:pStyle w:val="Compact"/>
      </w:pPr>
      <w:r>
        <w:t xml:space="preserve">In multiple dimensions variance is covariance,</w:t>
      </w:r>
      <w:r>
        <w:t xml:space="preserve"> </w:t>
      </w:r>
      <m:oMath>
        <m:r>
          <m:t>S</m:t>
        </m:r>
      </m:oMath>
      <w:r>
        <w:t xml:space="preserve">, a matrix, and should be based on the inverse,</w:t>
      </w:r>
      <w:r>
        <w:t xml:space="preserve"> </w:t>
      </w:r>
      <m:oMath>
        <m:sSup>
          <m:e>
            <m:r>
              <m:t>S</m:t>
            </m:r>
          </m:e>
          <m:sup>
            <m:r>
              <m:t>−</m:t>
            </m:r>
            <m:r>
              <m:t>1</m:t>
            </m:r>
          </m:sup>
        </m:sSup>
      </m:oMath>
      <w:r>
        <w:t xml:space="preserve">.</w:t>
      </w:r>
    </w:p>
    <w:p>
      <w:pPr>
        <w:pStyle w:val="FirstParagraph"/>
      </w:pPr>
      <m:oMathPara>
        <m:oMathParaPr>
          <m:jc m:val="center"/>
        </m:oMathParaPr>
        <m:oMath>
          <m:r>
            <m:t>d</m:t>
          </m:r>
          <m:r>
            <m:t>(</m:t>
          </m:r>
          <m:r>
            <m:t>x</m:t>
          </m:r>
          <m:r>
            <m:t>,</m:t>
          </m:r>
          <m:r>
            <m:t>y</m:t>
          </m:r>
          <m:r>
            <m:t>)</m:t>
          </m:r>
          <m:r>
            <m:t>=</m:t>
          </m:r>
          <m:sSup>
            <m:e>
              <m:d>
                <m:dPr>
                  <m:begChr m:val="("/>
                  <m:endChr m:val=")"/>
                  <m:grow/>
                </m:dPr>
                <m:e>
                  <m:r>
                    <m:t>(</m:t>
                  </m:r>
                  <m:r>
                    <m:t>x</m:t>
                  </m:r>
                  <m:r>
                    <m:t>−</m:t>
                  </m:r>
                  <m:r>
                    <m:t>y</m:t>
                  </m:r>
                  <m:r>
                    <m:t>)</m:t>
                  </m:r>
                  <m:sSup>
                    <m:e>
                      <m:r>
                        <m:t>S</m:t>
                      </m:r>
                    </m:e>
                    <m:sup>
                      <m:r>
                        <m:t>−</m:t>
                      </m:r>
                      <m:r>
                        <m:t>1</m:t>
                      </m:r>
                    </m:sup>
                  </m:sSup>
                  <m:r>
                    <m:t>(</m:t>
                  </m:r>
                  <m:r>
                    <m:t>x</m:t>
                  </m:r>
                  <m:r>
                    <m:t>−</m:t>
                  </m:r>
                  <m:r>
                    <m:t>y</m:t>
                  </m:r>
                  <m:r>
                    <m:t>)</m:t>
                  </m:r>
                </m:e>
              </m:d>
            </m:e>
            <m:sup>
              <m:r>
                <m:t>1</m:t>
              </m:r>
              <m:r>
                <m:t>/</m:t>
              </m:r>
              <m:r>
                <m:t>2</m:t>
              </m:r>
            </m:sup>
          </m:sSup>
        </m:oMath>
      </m:oMathPara>
    </w:p>
    <w:bookmarkEnd w:id="65"/>
    <w:bookmarkStart w:id="66" w:name="intuition"/>
    <w:p>
      <w:pPr>
        <w:pStyle w:val="Heading2"/>
      </w:pPr>
      <w:r>
        <w:t xml:space="preserve">Intuition</w:t>
      </w:r>
    </w:p>
    <w:p>
      <w:pPr>
        <w:pStyle w:val="FirstParagraph"/>
      </w:pPr>
      <w:r>
        <w:t xml:space="preserve">Suppose you are looking at how long it would take to walk somewhere.</w:t>
      </w:r>
    </w:p>
    <w:p>
      <w:pPr>
        <w:numPr>
          <w:ilvl w:val="0"/>
          <w:numId w:val="1042"/>
        </w:numPr>
        <w:pStyle w:val="Compact"/>
      </w:pPr>
      <w:r>
        <w:t xml:space="preserve">No correlations between directions and the variances. It takes equal time to walk any direction.</w:t>
      </w:r>
    </w:p>
    <w:p>
      <w:pPr>
        <w:numPr>
          <w:ilvl w:val="0"/>
          <w:numId w:val="1042"/>
        </w:numPr>
        <w:pStyle w:val="Compact"/>
      </w:pPr>
      <w:r>
        <w:t xml:space="preserve">No correlations between directions but the variances are different. You are in a valley and two directions, East and West or North and South, are up hill.</w:t>
      </w:r>
    </w:p>
    <w:p>
      <w:pPr>
        <w:numPr>
          <w:ilvl w:val="0"/>
          <w:numId w:val="1042"/>
        </w:numPr>
        <w:pStyle w:val="Compact"/>
      </w:pPr>
      <w:r>
        <w:t xml:space="preserve">With correlations and unequal variances. You are in a valley but it can have any orientation. NNW/SSE etc.</w:t>
      </w:r>
    </w:p>
    <w:p>
      <w:pPr>
        <w:pStyle w:val="FirstParagraph"/>
      </w:pPr>
      <w:r>
        <w:t xml:space="preserve">You still have to decide how close is close and that is your choice.</w:t>
      </w:r>
    </w:p>
    <w:bookmarkEnd w:id="66"/>
    <w:bookmarkStart w:id="67" w:name="mahalanobis-is-reused"/>
    <w:p>
      <w:pPr>
        <w:pStyle w:val="Heading2"/>
      </w:pPr>
      <w:r>
        <w:t xml:space="preserve">Mahalanobis is reused</w:t>
      </w:r>
    </w:p>
    <w:p>
      <w:pPr>
        <w:numPr>
          <w:ilvl w:val="0"/>
          <w:numId w:val="1043"/>
        </w:numPr>
        <w:pStyle w:val="Compact"/>
      </w:pPr>
      <w:r>
        <w:t xml:space="preserve">Is at the heart of propensity score matching and other advanced econometric techniques.</w:t>
      </w:r>
    </w:p>
    <w:p>
      <w:pPr>
        <w:numPr>
          <w:ilvl w:val="0"/>
          <w:numId w:val="1043"/>
        </w:numPr>
        <w:pStyle w:val="Compact"/>
      </w:pPr>
      <w:r>
        <w:t xml:space="preserve">Also used to create indexes, like the Chinn-Ito index which measures country’s degree of capital account openness.</w:t>
      </w:r>
    </w:p>
    <w:p>
      <w:pPr>
        <w:numPr>
          <w:ilvl w:val="1"/>
          <w:numId w:val="1044"/>
        </w:numPr>
        <w:pStyle w:val="Compact"/>
      </w:pPr>
      <w:r>
        <w:t xml:space="preserve">You start with</w:t>
      </w:r>
      <w:r>
        <w:t xml:space="preserve"> </w:t>
      </w:r>
      <m:oMath>
        <m:r>
          <m:t>S</m:t>
        </m:r>
      </m:oMath>
      <w:r>
        <w:t xml:space="preserve"> </w:t>
      </w:r>
      <w:r>
        <w:t xml:space="preserve">and do a spectral decomposition also called, Eigen decomposition.</w:t>
      </w:r>
    </w:p>
    <w:p>
      <w:pPr>
        <w:numPr>
          <w:ilvl w:val="1"/>
          <w:numId w:val="1044"/>
        </w:numPr>
        <w:pStyle w:val="Compact"/>
      </w:pPr>
      <w:r>
        <w:t xml:space="preserve">Use the first eigen vector as the weights.</w:t>
      </w:r>
    </w:p>
    <w:bookmarkEnd w:id="67"/>
    <w:bookmarkStart w:id="68" w:name="for-pure-categorical-data"/>
    <w:p>
      <w:pPr>
        <w:pStyle w:val="Heading2"/>
      </w:pPr>
      <w:r>
        <w:t xml:space="preserve">For Pure Categorical Data</w:t>
      </w:r>
    </w:p>
    <w:p>
      <w:pPr>
        <w:numPr>
          <w:ilvl w:val="0"/>
          <w:numId w:val="1045"/>
        </w:numPr>
        <w:pStyle w:val="Compact"/>
      </w:pPr>
      <w:r>
        <w:t xml:space="preserve">Many metrics in common use.</w:t>
      </w:r>
    </w:p>
    <w:p>
      <w:pPr>
        <w:numPr>
          <w:ilvl w:val="0"/>
          <w:numId w:val="1045"/>
        </w:numPr>
        <w:pStyle w:val="Compact"/>
      </w:pPr>
      <w:r>
        <w:t xml:space="preserve">Count of common categories is very common.</w:t>
      </w:r>
    </w:p>
    <w:p>
      <w:pPr>
        <w:numPr>
          <w:ilvl w:val="1"/>
          <w:numId w:val="1046"/>
        </w:numPr>
        <w:pStyle w:val="Compact"/>
      </w:pPr>
      <w:r>
        <w:t xml:space="preserve">{blond, blue, curly} and {blond, blue, straight} share two.</w:t>
      </w:r>
    </w:p>
    <w:p>
      <w:pPr>
        <w:numPr>
          <w:ilvl w:val="1"/>
          <w:numId w:val="1046"/>
        </w:numPr>
        <w:pStyle w:val="Compact"/>
      </w:pPr>
      <w:r>
        <w:t xml:space="preserve">{Red, blue, curly} and {blond, blue, curly} also share two.</w:t>
      </w:r>
    </w:p>
    <w:p>
      <w:pPr>
        <w:numPr>
          <w:ilvl w:val="1"/>
          <w:numId w:val="1046"/>
        </w:numPr>
        <w:pStyle w:val="Compact"/>
      </w:pPr>
      <w:r>
        <w:t xml:space="preserve">Counts all characteristics as equal importance.</w:t>
      </w:r>
    </w:p>
    <w:p>
      <w:pPr>
        <w:numPr>
          <w:ilvl w:val="0"/>
          <w:numId w:val="1045"/>
        </w:numPr>
        <w:pStyle w:val="Compact"/>
      </w:pPr>
      <w:r>
        <w:t xml:space="preserve">Convert to dummy variables and use Mahalanobis</w:t>
      </w:r>
    </w:p>
    <w:p>
      <w:pPr>
        <w:numPr>
          <w:ilvl w:val="1"/>
          <w:numId w:val="1047"/>
        </w:numPr>
        <w:pStyle w:val="Compact"/>
      </w:pPr>
      <w:r>
        <w:t xml:space="preserve">Harder to do</w:t>
      </w:r>
    </w:p>
    <w:p>
      <w:pPr>
        <w:numPr>
          <w:ilvl w:val="1"/>
          <w:numId w:val="1047"/>
        </w:numPr>
        <w:pStyle w:val="Compact"/>
      </w:pPr>
      <w:r>
        <w:t xml:space="preserve">Does not treat all as equal importance</w:t>
      </w:r>
    </w:p>
    <w:bookmarkEnd w:id="68"/>
    <w:bookmarkStart w:id="69" w:name="dummy-variable"/>
    <w:p>
      <w:pPr>
        <w:pStyle w:val="Heading2"/>
      </w:pPr>
      <w:r>
        <w:t xml:space="preserve">Dummy Variable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Person</w:t>
            </w:r>
          </w:p>
        </w:tc>
        <w:tc>
          <w:tcPr>
            <w:tcBorders>
              <w:bottom w:val="single"/>
            </w:tcBorders>
            <w:vAlign w:val="bottom"/>
          </w:tcPr>
          <w:p>
            <w:pPr>
              <w:pStyle w:val="Compact"/>
              <w:jc w:val="left"/>
            </w:pPr>
            <w:r>
              <w:t xml:space="preserve">Red</w:t>
            </w:r>
          </w:p>
        </w:tc>
        <w:tc>
          <w:tcPr>
            <w:tcBorders>
              <w:bottom w:val="single"/>
            </w:tcBorders>
            <w:vAlign w:val="bottom"/>
          </w:tcPr>
          <w:p>
            <w:pPr>
              <w:pStyle w:val="Compact"/>
              <w:jc w:val="left"/>
            </w:pPr>
            <w:r>
              <w:t xml:space="preserve">Blond</w:t>
            </w:r>
          </w:p>
        </w:tc>
        <w:tc>
          <w:tcPr>
            <w:tcBorders>
              <w:bottom w:val="single"/>
            </w:tcBorders>
            <w:vAlign w:val="bottom"/>
          </w:tcPr>
          <w:p>
            <w:pPr>
              <w:pStyle w:val="Compact"/>
              <w:jc w:val="left"/>
            </w:pPr>
            <w:r>
              <w:t xml:space="preserve">Blue</w:t>
            </w:r>
          </w:p>
        </w:tc>
        <w:tc>
          <w:tcPr>
            <w:tcBorders>
              <w:bottom w:val="single"/>
            </w:tcBorders>
            <w:vAlign w:val="bottom"/>
          </w:tcPr>
          <w:p>
            <w:pPr>
              <w:pStyle w:val="Compact"/>
              <w:jc w:val="left"/>
            </w:pPr>
            <w:r>
              <w:t xml:space="preserve">Brown</w:t>
            </w:r>
          </w:p>
        </w:tc>
        <w:tc>
          <w:tcPr>
            <w:tcBorders>
              <w:bottom w:val="single"/>
            </w:tcBorders>
            <w:vAlign w:val="bottom"/>
          </w:tcPr>
          <w:p>
            <w:pPr>
              <w:pStyle w:val="Compact"/>
              <w:jc w:val="left"/>
            </w:pPr>
            <w:r>
              <w:t xml:space="preserve">Straight</w:t>
            </w:r>
          </w:p>
        </w:tc>
        <w:tc>
          <w:tcPr>
            <w:tcBorders>
              <w:bottom w:val="single"/>
            </w:tcBorders>
            <w:vAlign w:val="bottom"/>
          </w:tcPr>
          <w:p>
            <w:pPr>
              <w:pStyle w:val="Compact"/>
              <w:jc w:val="left"/>
            </w:pPr>
            <w:r>
              <w:t xml:space="preserve">Curly</w:t>
            </w:r>
          </w:p>
        </w:tc>
      </w:tr>
      <w:tr>
        <w:tc>
          <w:p>
            <w:pPr>
              <w:pStyle w:val="Compact"/>
              <w:jc w:val="left"/>
            </w:pPr>
            <w:r>
              <w:t xml:space="preserve">A</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B</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bl>
    <w:p>
      <w:pPr>
        <w:pStyle w:val="BodyText"/>
      </w:pPr>
      <w:r>
        <w:t xml:space="preserve">You need a lot of data for the covariance matrix, more than the sum of the categories squared plus the sum of the categories. For this example, 36+6 = 42, is the minimum.</w:t>
      </w:r>
    </w:p>
    <w:bookmarkEnd w:id="69"/>
    <w:bookmarkStart w:id="70" w:name="again"/>
    <w:p>
      <w:pPr>
        <w:pStyle w:val="Heading2"/>
      </w:pPr>
      <w:r>
        <w:t xml:space="preserve">Again</w:t>
      </w:r>
    </w:p>
    <w:p>
      <w:pPr>
        <w:pStyle w:val="FirstParagraph"/>
      </w:pPr>
      <w:r>
        <w:t xml:space="preserve">This is not generally in introduction to econometrics.</w:t>
      </w:r>
    </w:p>
    <w:bookmarkEnd w:id="70"/>
    <w:bookmarkStart w:id="71" w:name="discounted-cash-flow-dcf"/>
    <w:p>
      <w:pPr>
        <w:pStyle w:val="Heading2"/>
      </w:pPr>
      <w:r>
        <w:t xml:space="preserve">Discounted Cash Flow (DCF)</w:t>
      </w:r>
    </w:p>
    <w:p>
      <w:pPr>
        <w:pStyle w:val="FirstParagraph"/>
      </w:pPr>
      <w:r>
        <w:t xml:space="preserve">This is also called the Gordon Growth Model or the Dividend Discount Model.</w:t>
      </w:r>
    </w:p>
    <w:p>
      <w:pPr>
        <w:pStyle w:val="BodyText"/>
      </w:pPr>
      <m:oMathPara>
        <m:oMathParaPr>
          <m:jc m:val="center"/>
        </m:oMathParaPr>
        <m:oMath>
          <m:r>
            <m:t>k</m:t>
          </m:r>
          <m:r>
            <m:t>=</m:t>
          </m:r>
          <m:f>
            <m:fPr>
              <m:type m:val="bar"/>
            </m:fPr>
            <m:num>
              <m:sSub>
                <m:e>
                  <m:r>
                    <m:t>D</m:t>
                  </m:r>
                </m:e>
                <m:sub>
                  <m:r>
                    <m:t>0</m:t>
                  </m:r>
                </m:sub>
              </m:sSub>
              <m:r>
                <m:t>(</m:t>
              </m:r>
              <m:r>
                <m:t>1</m:t>
              </m:r>
              <m:r>
                <m:t>+</m:t>
              </m:r>
              <m:r>
                <m:t>g</m:t>
              </m:r>
              <m:r>
                <m:t>)</m:t>
              </m:r>
            </m:num>
            <m:den>
              <m:sSub>
                <m:e>
                  <m:r>
                    <m:t>P</m:t>
                  </m:r>
                </m:e>
                <m:sub>
                  <m:r>
                    <m:t>0</m:t>
                  </m:r>
                </m:sub>
              </m:sSub>
            </m:den>
          </m:f>
          <m:r>
            <m:t>+</m:t>
          </m:r>
          <m:r>
            <m:t>g</m:t>
          </m:r>
        </m:oMath>
      </m:oMathPara>
    </w:p>
    <w:p>
      <w:pPr>
        <w:numPr>
          <w:ilvl w:val="0"/>
          <w:numId w:val="1048"/>
        </w:numPr>
        <w:pStyle w:val="Compact"/>
      </w:pPr>
      <m:oMath>
        <m:sSub>
          <m:e>
            <m:r>
              <m:t>D</m:t>
            </m:r>
          </m:e>
          <m:sub>
            <m:r>
              <m:t>0</m:t>
            </m:r>
          </m:sub>
        </m:sSub>
      </m:oMath>
      <w:r>
        <w:t xml:space="preserve">: Current Dividend</w:t>
      </w:r>
    </w:p>
    <w:p>
      <w:pPr>
        <w:numPr>
          <w:ilvl w:val="0"/>
          <w:numId w:val="1048"/>
        </w:numPr>
        <w:pStyle w:val="Compact"/>
      </w:pPr>
      <m:oMath>
        <m:sSub>
          <m:e>
            <m:r>
              <m:t>P</m:t>
            </m:r>
          </m:e>
          <m:sub>
            <m:r>
              <m:t>0</m:t>
            </m:r>
          </m:sub>
        </m:sSub>
      </m:oMath>
      <w:r>
        <w:t xml:space="preserve">: Current Price of Stock</w:t>
      </w:r>
    </w:p>
    <w:p>
      <w:pPr>
        <w:numPr>
          <w:ilvl w:val="0"/>
          <w:numId w:val="1048"/>
        </w:numPr>
        <w:pStyle w:val="Compact"/>
      </w:pPr>
      <m:oMath>
        <m:r>
          <m:t>g</m:t>
        </m:r>
      </m:oMath>
      <w:r>
        <w:t xml:space="preserve">: Forecasted growth rate of dividend and the growth rate in the price of the stock.</w:t>
      </w:r>
      <w:r>
        <w:br/>
      </w:r>
    </w:p>
    <w:p>
      <w:pPr>
        <w:numPr>
          <w:ilvl w:val="0"/>
          <w:numId w:val="1048"/>
        </w:numPr>
        <w:pStyle w:val="Compact"/>
      </w:pPr>
      <m:oMath>
        <m:r>
          <m:t>k</m:t>
        </m:r>
      </m:oMath>
      <w:r>
        <w:t xml:space="preserve"> </w:t>
      </w:r>
      <w:r>
        <w:t xml:space="preserve">required rate of return</w:t>
      </w:r>
    </w:p>
    <w:p>
      <w:pPr>
        <w:pStyle w:val="FirstParagraph"/>
      </w:pPr>
      <w:r>
        <w:t xml:space="preserve">The book has a typo, or an odd time convention I am missing.</w:t>
      </w:r>
    </w:p>
    <w:bookmarkEnd w:id="71"/>
    <w:bookmarkStart w:id="72" w:name="understanding-it"/>
    <w:p>
      <w:pPr>
        <w:pStyle w:val="Heading2"/>
      </w:pPr>
      <w:r>
        <w:t xml:space="preserve">Understanding it</w:t>
      </w:r>
    </w:p>
    <w:p>
      <w:pPr>
        <w:pStyle w:val="FirstParagraph"/>
      </w:pPr>
      <w:r>
        <w:t xml:space="preserve">Start with the idea that the price of an asset is the present value of the constant dividend stream.</w:t>
      </w:r>
    </w:p>
    <w:p>
      <w:pPr>
        <w:pStyle w:val="BodyText"/>
      </w:pPr>
      <m:oMathPara>
        <m:oMathParaPr>
          <m:jc m:val="center"/>
        </m:oMathParaPr>
        <m:oMath>
          <m:r>
            <m:t>P</m:t>
          </m:r>
          <m:r>
            <m:t>=</m:t>
          </m:r>
          <m:nary>
            <m:naryPr>
              <m:chr m:val="∑"/>
              <m:limLoc m:val="undOvr"/>
              <m:subHide m:val="0"/>
              <m:supHide m:val="0"/>
            </m:naryPr>
            <m:sub>
              <m:r>
                <m:t>t</m:t>
              </m:r>
              <m:r>
                <m:t>=</m:t>
              </m:r>
              <m:r>
                <m:t>0</m:t>
              </m:r>
            </m:sub>
            <m:sup>
              <m:r>
                <m:t>∞</m:t>
              </m:r>
            </m:sup>
            <m:e>
              <m:f>
                <m:fPr>
                  <m:type m:val="bar"/>
                </m:fPr>
                <m:num>
                  <m:sSub>
                    <m:e>
                      <m:r>
                        <m:t>D</m:t>
                      </m:r>
                    </m:e>
                    <m:sub>
                      <m:r>
                        <m:t>0</m:t>
                      </m:r>
                    </m:sub>
                  </m:sSub>
                </m:num>
                <m:den>
                  <m:r>
                    <m:t>(</m:t>
                  </m:r>
                  <m:r>
                    <m:t>1</m:t>
                  </m:r>
                  <m:r>
                    <m:t>+</m:t>
                  </m:r>
                  <m:r>
                    <m:t>k</m:t>
                  </m:r>
                  <m:sSup>
                    <m:e>
                      <m:r>
                        <m:t>)</m:t>
                      </m:r>
                    </m:e>
                    <m:sup>
                      <m:r>
                        <m:t>t</m:t>
                      </m:r>
                    </m:sup>
                  </m:sSup>
                </m:den>
              </m:f>
            </m:e>
          </m:nary>
        </m:oMath>
      </m:oMathPara>
    </w:p>
    <w:p>
      <w:pPr>
        <w:pStyle w:val="FirstParagraph"/>
      </w:pPr>
      <w:r>
        <w:t xml:space="preserve">Now let the dividends grow at a rate of</w:t>
      </w:r>
      <w:r>
        <w:t xml:space="preserve"> </w:t>
      </w:r>
      <m:oMath>
        <m:r>
          <m:t>g</m:t>
        </m:r>
      </m:oMath>
      <w:r>
        <w:t xml:space="preserve">.</w:t>
      </w:r>
    </w:p>
    <w:p>
      <w:pPr>
        <w:pStyle w:val="BodyText"/>
      </w:pPr>
      <m:oMathPara>
        <m:oMathParaPr>
          <m:jc m:val="center"/>
        </m:oMathParaPr>
        <m:oMath>
          <m:r>
            <m:t>P</m:t>
          </m:r>
          <m:r>
            <m:t>=</m:t>
          </m:r>
          <m:nary>
            <m:naryPr>
              <m:chr m:val="∑"/>
              <m:limLoc m:val="undOvr"/>
              <m:subHide m:val="0"/>
              <m:supHide m:val="0"/>
            </m:naryPr>
            <m:sub>
              <m:r>
                <m:t>t</m:t>
              </m:r>
              <m:r>
                <m:t>=</m:t>
              </m:r>
              <m:r>
                <m:t>0</m:t>
              </m:r>
            </m:sub>
            <m:sup>
              <m:r>
                <m:t>∞</m:t>
              </m:r>
            </m:sup>
            <m:e>
              <m:f>
                <m:fPr>
                  <m:type m:val="bar"/>
                </m:fPr>
                <m:num>
                  <m:sSub>
                    <m:e>
                      <m:r>
                        <m:t>D</m:t>
                      </m:r>
                    </m:e>
                    <m:sub>
                      <m:r>
                        <m:t>0</m:t>
                      </m:r>
                    </m:sub>
                  </m:sSub>
                  <m:r>
                    <m:t>(</m:t>
                  </m:r>
                  <m:r>
                    <m:t>1</m:t>
                  </m:r>
                  <m:r>
                    <m:t>+</m:t>
                  </m:r>
                  <m:r>
                    <m:t>g</m:t>
                  </m:r>
                  <m:sSup>
                    <m:e>
                      <m:r>
                        <m:t>)</m:t>
                      </m:r>
                    </m:e>
                    <m:sup>
                      <m:r>
                        <m:t>t</m:t>
                      </m:r>
                    </m:sup>
                  </m:sSup>
                </m:num>
                <m:den>
                  <m:r>
                    <m:t>(</m:t>
                  </m:r>
                  <m:r>
                    <m:t>1</m:t>
                  </m:r>
                  <m:r>
                    <m:t>+</m:t>
                  </m:r>
                  <m:r>
                    <m:t>k</m:t>
                  </m:r>
                  <m:sSup>
                    <m:e>
                      <m:r>
                        <m:t>)</m:t>
                      </m:r>
                    </m:e>
                    <m:sup>
                      <m:r>
                        <m:t>t</m:t>
                      </m:r>
                    </m:sup>
                  </m:sSup>
                </m:den>
              </m:f>
            </m:e>
          </m:nary>
        </m:oMath>
      </m:oMathPara>
    </w:p>
    <w:p>
      <w:pPr>
        <w:pStyle w:val="FirstParagraph"/>
      </w:pPr>
      <w:r>
        <w:t xml:space="preserve">This is an infinite geometric series.</w:t>
      </w:r>
    </w:p>
    <w:bookmarkEnd w:id="72"/>
    <w:bookmarkStart w:id="73" w:name="trick-from-calc-2-sequences-and-series"/>
    <w:p>
      <w:pPr>
        <w:pStyle w:val="Heading2"/>
      </w:pPr>
      <w:r>
        <w:t xml:space="preserve">Trick from Calc 2 Sequences and Series</w:t>
      </w:r>
    </w:p>
    <w:p>
      <w:pPr>
        <w:pStyle w:val="FirstParagraph"/>
      </w:pPr>
      <w:r>
        <w:t xml:space="preserve">I’m starting the sum at time 1 not time zero.</w:t>
      </w:r>
    </w:p>
    <w:p>
      <w:pPr>
        <w:pStyle w:val="BodyText"/>
      </w:pPr>
      <m:oMathPara>
        <m:oMathParaPr>
          <m:jc m:val="center"/>
        </m:oMathParaPr>
        <m:oMath>
          <m:nary>
            <m:naryPr>
              <m:chr m:val="∑"/>
              <m:limLoc m:val="undOvr"/>
              <m:subHide m:val="0"/>
              <m:supHide m:val="0"/>
            </m:naryPr>
            <m:sub>
              <m:r>
                <m:t>t</m:t>
              </m:r>
              <m:r>
                <m:t>=</m:t>
              </m:r>
              <m:r>
                <m:t>1</m:t>
              </m:r>
            </m:sub>
            <m:sup>
              <m:r>
                <m:t>∞</m:t>
              </m:r>
            </m:sup>
            <m:e>
              <m:f>
                <m:fPr>
                  <m:type m:val="bar"/>
                </m:fPr>
                <m:num>
                  <m:r>
                    <m:t>(</m:t>
                  </m:r>
                  <m:r>
                    <m:t>1</m:t>
                  </m:r>
                  <m:r>
                    <m:t>+</m:t>
                  </m:r>
                  <m:r>
                    <m:t>g</m:t>
                  </m:r>
                  <m:sSup>
                    <m:e>
                      <m:r>
                        <m:t>)</m:t>
                      </m:r>
                    </m:e>
                    <m:sup>
                      <m:r>
                        <m:t>t</m:t>
                      </m:r>
                    </m:sup>
                  </m:sSup>
                </m:num>
                <m:den>
                  <m:r>
                    <m:t>(</m:t>
                  </m:r>
                  <m:r>
                    <m:t>1</m:t>
                  </m:r>
                  <m:r>
                    <m:t>+</m:t>
                  </m:r>
                  <m:r>
                    <m:t>k</m:t>
                  </m:r>
                  <m:sSup>
                    <m:e>
                      <m:r>
                        <m:t>)</m:t>
                      </m:r>
                    </m:e>
                    <m:sup>
                      <m:r>
                        <m:t>t</m:t>
                      </m:r>
                    </m:sup>
                  </m:sSup>
                </m:den>
              </m:f>
            </m:e>
          </m:nary>
          <m:r>
            <m:t>=</m:t>
          </m:r>
          <m:f>
            <m:fPr>
              <m:type m:val="bar"/>
            </m:fPr>
            <m:num>
              <m:r>
                <m:t>1</m:t>
              </m:r>
            </m:num>
            <m:den>
              <m:r>
                <m:t>1</m:t>
              </m:r>
              <m:r>
                <m:t>−</m:t>
              </m:r>
              <m:f>
                <m:fPr>
                  <m:type m:val="bar"/>
                </m:fPr>
                <m:num>
                  <m:r>
                    <m:t>(</m:t>
                  </m:r>
                  <m:r>
                    <m:t>1</m:t>
                  </m:r>
                  <m:r>
                    <m:t>+</m:t>
                  </m:r>
                  <m:r>
                    <m:t>g</m:t>
                  </m:r>
                  <m:r>
                    <m:t>)</m:t>
                  </m:r>
                </m:num>
                <m:den>
                  <m:r>
                    <m:t>(</m:t>
                  </m:r>
                  <m:r>
                    <m:t>1</m:t>
                  </m:r>
                  <m:r>
                    <m:t>+</m:t>
                  </m:r>
                  <m:r>
                    <m:t>k</m:t>
                  </m:r>
                  <m:r>
                    <m:t>)</m:t>
                  </m:r>
                </m:den>
              </m:f>
            </m:den>
          </m:f>
          <m:r>
            <m:t>=</m:t>
          </m:r>
          <m:f>
            <m:fPr>
              <m:type m:val="bar"/>
            </m:fPr>
            <m:num>
              <m:r>
                <m:t>1</m:t>
              </m:r>
            </m:num>
            <m:den>
              <m:f>
                <m:fPr>
                  <m:type m:val="bar"/>
                </m:fPr>
                <m:num>
                  <m:r>
                    <m:t>(</m:t>
                  </m:r>
                  <m:r>
                    <m:t>1</m:t>
                  </m:r>
                  <m:r>
                    <m:t>+</m:t>
                  </m:r>
                  <m:r>
                    <m:t>k</m:t>
                  </m:r>
                  <m:r>
                    <m:t>)</m:t>
                  </m:r>
                </m:num>
                <m:den>
                  <m:r>
                    <m:t>(</m:t>
                  </m:r>
                  <m:r>
                    <m:t>1</m:t>
                  </m:r>
                  <m:r>
                    <m:t>+</m:t>
                  </m:r>
                  <m:r>
                    <m:t>k</m:t>
                  </m:r>
                  <m:r>
                    <m:t>)</m:t>
                  </m:r>
                </m:den>
              </m:f>
              <m:r>
                <m:t>−</m:t>
              </m:r>
              <m:f>
                <m:fPr>
                  <m:type m:val="bar"/>
                </m:fPr>
                <m:num>
                  <m:r>
                    <m:t>(</m:t>
                  </m:r>
                  <m:r>
                    <m:t>1</m:t>
                  </m:r>
                  <m:r>
                    <m:t>+</m:t>
                  </m:r>
                  <m:r>
                    <m:t>g</m:t>
                  </m:r>
                  <m:r>
                    <m:t>)</m:t>
                  </m:r>
                </m:num>
                <m:den>
                  <m:r>
                    <m:t>(</m:t>
                  </m:r>
                  <m:r>
                    <m:t>1</m:t>
                  </m:r>
                  <m:r>
                    <m:t>+</m:t>
                  </m:r>
                  <m:r>
                    <m:t>k</m:t>
                  </m:r>
                  <m:r>
                    <m:t>)</m:t>
                  </m:r>
                </m:den>
              </m:f>
            </m:den>
          </m:f>
          <m:r>
            <m:t>=</m:t>
          </m:r>
          <m:f>
            <m:fPr>
              <m:type m:val="bar"/>
            </m:fPr>
            <m:num>
              <m:r>
                <m:t>1</m:t>
              </m:r>
            </m:num>
            <m:den>
              <m:f>
                <m:fPr>
                  <m:type m:val="bar"/>
                </m:fPr>
                <m:num>
                  <m:r>
                    <m:t>(</m:t>
                  </m:r>
                  <m:r>
                    <m:t>k</m:t>
                  </m:r>
                  <m:r>
                    <m:t>−</m:t>
                  </m:r>
                  <m:r>
                    <m:t>g</m:t>
                  </m:r>
                  <m:r>
                    <m:t>)</m:t>
                  </m:r>
                </m:num>
                <m:den>
                  <m:r>
                    <m:t>(</m:t>
                  </m:r>
                  <m:r>
                    <m:t>1</m:t>
                  </m:r>
                  <m:r>
                    <m:t>+</m:t>
                  </m:r>
                  <m:r>
                    <m:t>k</m:t>
                  </m:r>
                  <m:r>
                    <m:t>)</m:t>
                  </m:r>
                </m:den>
              </m:f>
            </m:den>
          </m:f>
          <m:r>
            <m:t>=</m:t>
          </m:r>
          <m:f>
            <m:fPr>
              <m:type m:val="bar"/>
            </m:fPr>
            <m:num>
              <m:r>
                <m:t>(</m:t>
              </m:r>
              <m:r>
                <m:t>1</m:t>
              </m:r>
              <m:r>
                <m:t>+</m:t>
              </m:r>
              <m:r>
                <m:t>k</m:t>
              </m:r>
              <m:r>
                <m:t>)</m:t>
              </m:r>
            </m:num>
            <m:den>
              <m:r>
                <m:t>(</m:t>
              </m:r>
              <m:r>
                <m:t>k</m:t>
              </m:r>
              <m:r>
                <m:t>−</m:t>
              </m:r>
              <m:r>
                <m:t>g</m:t>
              </m:r>
              <m:r>
                <m:t>)</m:t>
              </m:r>
            </m:den>
          </m:f>
        </m:oMath>
      </m:oMathPara>
    </w:p>
    <w:p>
      <w:pPr>
        <w:pStyle w:val="FirstParagraph"/>
      </w:pPr>
      <w:r>
        <w:t xml:space="preserve">So, to convert to summation starting at zero multiply by</w:t>
      </w:r>
      <w:r>
        <w:t xml:space="preserve"> </w:t>
      </w:r>
      <m:oMath>
        <m:f>
          <m:fPr>
            <m:type m:val="bar"/>
          </m:fPr>
          <m:num>
            <m:r>
              <m:t>(</m:t>
            </m:r>
            <m:r>
              <m:t>1</m:t>
            </m:r>
            <m:r>
              <m:t>+</m:t>
            </m:r>
            <m:r>
              <m:t>g</m:t>
            </m:r>
            <m:r>
              <m:t>)</m:t>
            </m:r>
          </m:num>
          <m:den>
            <m:r>
              <m:t>(</m:t>
            </m:r>
            <m:r>
              <m:t>1</m:t>
            </m:r>
            <m:r>
              <m:t>+</m:t>
            </m:r>
            <m:r>
              <m:t>k</m:t>
            </m:r>
            <m:r>
              <m:t>)</m:t>
            </m:r>
          </m:den>
        </m:f>
      </m:oMath>
    </w:p>
    <w:p>
      <w:pPr>
        <w:pStyle w:val="BodyText"/>
      </w:pPr>
      <m:oMathPara>
        <m:oMathParaPr>
          <m:jc m:val="center"/>
        </m:oMathParaPr>
        <m:oMath>
          <m:f>
            <m:fPr>
              <m:type m:val="bar"/>
            </m:fPr>
            <m:num>
              <m:r>
                <m:t>(</m:t>
              </m:r>
              <m:r>
                <m:t>1</m:t>
              </m:r>
              <m:r>
                <m:t>+</m:t>
              </m:r>
              <m:r>
                <m:t>k</m:t>
              </m:r>
              <m:r>
                <m:t>)</m:t>
              </m:r>
            </m:num>
            <m:den>
              <m:r>
                <m:t>(</m:t>
              </m:r>
              <m:r>
                <m:t>k</m:t>
              </m:r>
              <m:r>
                <m:t>−</m:t>
              </m:r>
              <m:r>
                <m:t>g</m:t>
              </m:r>
              <m:r>
                <m:t>)</m:t>
              </m:r>
            </m:den>
          </m:f>
          <m:f>
            <m:fPr>
              <m:type m:val="bar"/>
            </m:fPr>
            <m:num>
              <m:r>
                <m:t>(</m:t>
              </m:r>
              <m:r>
                <m:t>1</m:t>
              </m:r>
              <m:r>
                <m:t>+</m:t>
              </m:r>
              <m:r>
                <m:t>g</m:t>
              </m:r>
              <m:r>
                <m:t>)</m:t>
              </m:r>
            </m:num>
            <m:den>
              <m:r>
                <m:t>(</m:t>
              </m:r>
              <m:r>
                <m:t>1</m:t>
              </m:r>
              <m:r>
                <m:t>+</m:t>
              </m:r>
              <m:r>
                <m:t>k</m:t>
              </m:r>
              <m:r>
                <m:t>)</m:t>
              </m:r>
            </m:den>
          </m:f>
          <m:r>
            <m:t>=</m:t>
          </m:r>
          <m:f>
            <m:fPr>
              <m:type m:val="bar"/>
            </m:fPr>
            <m:num>
              <m:r>
                <m:t>(</m:t>
              </m:r>
              <m:r>
                <m:t>1</m:t>
              </m:r>
              <m:r>
                <m:t>+</m:t>
              </m:r>
              <m:r>
                <m:t>g</m:t>
              </m:r>
              <m:r>
                <m:t>)</m:t>
              </m:r>
            </m:num>
            <m:den>
              <m:r>
                <m:t>(</m:t>
              </m:r>
              <m:r>
                <m:t>k</m:t>
              </m:r>
              <m:r>
                <m:t>−</m:t>
              </m:r>
              <m:r>
                <m:t>g</m:t>
              </m:r>
              <m:r>
                <m:t>)</m:t>
              </m:r>
            </m:den>
          </m:f>
        </m:oMath>
      </m:oMathPara>
    </w:p>
    <w:bookmarkEnd w:id="73"/>
    <w:bookmarkStart w:id="74" w:name="you-then-find"/>
    <w:p>
      <w:pPr>
        <w:pStyle w:val="Heading2"/>
      </w:pPr>
      <w:r>
        <w:t xml:space="preserve">You then find</w:t>
      </w:r>
    </w:p>
    <w:p>
      <w:pPr>
        <w:pStyle w:val="FirstParagraph"/>
      </w:pPr>
      <m:oMathPara>
        <m:oMathParaPr>
          <m:jc m:val="center"/>
        </m:oMathParaPr>
        <m:oMath>
          <m:r>
            <m:t>P</m:t>
          </m:r>
          <m:r>
            <m:t>=</m:t>
          </m:r>
          <m:sSub>
            <m:e>
              <m:r>
                <m:t>D</m:t>
              </m:r>
            </m:e>
            <m:sub>
              <m:r>
                <m:t>0</m:t>
              </m:r>
            </m:sub>
          </m:sSub>
          <m:f>
            <m:fPr>
              <m:type m:val="bar"/>
            </m:fPr>
            <m:num>
              <m:r>
                <m:t>(</m:t>
              </m:r>
              <m:r>
                <m:t>1</m:t>
              </m:r>
              <m:r>
                <m:t>+</m:t>
              </m:r>
              <m:r>
                <m:t>g</m:t>
              </m:r>
              <m:r>
                <m:t>)</m:t>
              </m:r>
            </m:num>
            <m:den>
              <m:r>
                <m:t>(</m:t>
              </m:r>
              <m:r>
                <m:t>k</m:t>
              </m:r>
              <m:r>
                <m:t>−</m:t>
              </m:r>
              <m:r>
                <m:t>g</m:t>
              </m:r>
              <m:r>
                <m:t>)</m:t>
              </m:r>
            </m:den>
          </m:f>
        </m:oMath>
      </m:oMathPara>
    </w:p>
    <w:p>
      <w:pPr>
        <w:pStyle w:val="FirstParagraph"/>
      </w:pPr>
      <w:r>
        <w:t xml:space="preserve">Solve for k, which is the cost of capital that you are looking for.</w:t>
      </w:r>
    </w:p>
    <w:p>
      <w:pPr>
        <w:pStyle w:val="BodyText"/>
      </w:pPr>
      <m:oMathPara>
        <m:oMathParaPr>
          <m:jc m:val="center"/>
        </m:oMathParaPr>
        <m:oMath>
          <m:r>
            <m:t>P</m:t>
          </m:r>
          <m:r>
            <m:t>k</m:t>
          </m:r>
          <m:r>
            <m:t>−</m:t>
          </m:r>
          <m:r>
            <m:t>P</m:t>
          </m:r>
          <m:r>
            <m:t>g</m:t>
          </m:r>
          <m:r>
            <m:t>=</m:t>
          </m:r>
          <m:sSub>
            <m:e>
              <m:r>
                <m:t>D</m:t>
              </m:r>
            </m:e>
            <m:sub>
              <m:r>
                <m:t>0</m:t>
              </m:r>
            </m:sub>
          </m:sSub>
          <m:r>
            <m:t>(</m:t>
          </m:r>
          <m:r>
            <m:t>1</m:t>
          </m:r>
          <m:r>
            <m:t>+</m:t>
          </m:r>
          <m:r>
            <m:t>g</m:t>
          </m:r>
          <m:r>
            <m:t>)</m:t>
          </m:r>
        </m:oMath>
      </m:oMathPara>
    </w:p>
    <w:p>
      <w:pPr>
        <w:pStyle w:val="FirstParagraph"/>
      </w:pPr>
      <m:oMathPara>
        <m:oMathParaPr>
          <m:jc m:val="center"/>
        </m:oMathParaPr>
        <m:oMath>
          <m:f>
            <m:fPr>
              <m:type m:val="bar"/>
            </m:fPr>
            <m:num>
              <m:r>
                <m:t>P</m:t>
              </m:r>
              <m:r>
                <m:t>k</m:t>
              </m:r>
            </m:num>
            <m:den>
              <m:r>
                <m:t>P</m:t>
              </m:r>
            </m:den>
          </m:f>
          <m:r>
            <m:t>=</m:t>
          </m:r>
          <m:r>
            <m:t>r</m:t>
          </m:r>
          <m:r>
            <m:t>=</m:t>
          </m:r>
          <m:f>
            <m:fPr>
              <m:type m:val="bar"/>
            </m:fPr>
            <m:num>
              <m:sSub>
                <m:e>
                  <m:r>
                    <m:t>D</m:t>
                  </m:r>
                </m:e>
                <m:sub>
                  <m:r>
                    <m:t>0</m:t>
                  </m:r>
                </m:sub>
              </m:sSub>
              <m:r>
                <m:t>(</m:t>
              </m:r>
              <m:r>
                <m:t>1</m:t>
              </m:r>
              <m:r>
                <m:t>+</m:t>
              </m:r>
              <m:r>
                <m:t>g</m:t>
              </m:r>
              <m:r>
                <m:t>)</m:t>
              </m:r>
            </m:num>
            <m:den>
              <m:r>
                <m:t>P</m:t>
              </m:r>
            </m:den>
          </m:f>
          <m:r>
            <m:t>+</m:t>
          </m:r>
          <m:r>
            <m:t>g</m:t>
          </m:r>
        </m:oMath>
      </m:oMathPara>
    </w:p>
    <w:bookmarkEnd w:id="74"/>
    <w:bookmarkStart w:id="75" w:name="gotchas"/>
    <w:p>
      <w:pPr>
        <w:pStyle w:val="Heading2"/>
      </w:pPr>
      <w:r>
        <w:t xml:space="preserve">Gotchas</w:t>
      </w:r>
    </w:p>
    <w:p>
      <w:pPr>
        <w:numPr>
          <w:ilvl w:val="0"/>
          <w:numId w:val="1049"/>
        </w:numPr>
      </w:pPr>
      <m:oMath>
        <m:r>
          <m:t>g</m:t>
        </m:r>
        <m:r>
          <m:t>&lt;</m:t>
        </m:r>
        <m:r>
          <m:t>r</m:t>
        </m:r>
      </m:oMath>
      <w:r>
        <w:t xml:space="preserve"> </w:t>
      </w:r>
      <w:r>
        <w:t xml:space="preserve">Your dividend growth rate must be less than the return on capital or else you crash the firm in finite time.</w:t>
      </w:r>
    </w:p>
    <w:p>
      <w:pPr>
        <w:numPr>
          <w:ilvl w:val="0"/>
          <w:numId w:val="1049"/>
        </w:numPr>
      </w:pPr>
      <w:r>
        <w:t xml:space="preserve">More than 1-to-1 change in k with changes in g.</w:t>
      </w:r>
    </w:p>
    <w:p>
      <w:pPr>
        <w:pStyle w:val="FirstParagraph"/>
      </w:pPr>
      <m:oMathPara>
        <m:oMathParaPr>
          <m:jc m:val="center"/>
        </m:oMathParaPr>
        <m:oMath>
          <m:f>
            <m:fPr>
              <m:type m:val="bar"/>
            </m:fPr>
            <m:num>
              <m:r>
                <m:t>∂</m:t>
              </m:r>
              <m:r>
                <m:t>k</m:t>
              </m:r>
            </m:num>
            <m:den>
              <m:r>
                <m:t>∂</m:t>
              </m:r>
              <m:r>
                <m:t>g</m:t>
              </m:r>
            </m:den>
          </m:f>
          <m:r>
            <m:t>=</m:t>
          </m:r>
          <m:f>
            <m:fPr>
              <m:type m:val="bar"/>
            </m:fPr>
            <m:num>
              <m:sSub>
                <m:e>
                  <m:r>
                    <m:t>D</m:t>
                  </m:r>
                </m:e>
                <m:sub>
                  <m:r>
                    <m:t>0</m:t>
                  </m:r>
                </m:sub>
              </m:sSub>
            </m:num>
            <m:den>
              <m:r>
                <m:t>P</m:t>
              </m:r>
            </m:den>
          </m:f>
          <m:r>
            <m:t>+</m:t>
          </m:r>
          <m:r>
            <m:t>1</m:t>
          </m:r>
        </m:oMath>
      </m:oMathPara>
    </w:p>
    <w:bookmarkEnd w:id="75"/>
    <w:bookmarkStart w:id="76" w:name="where-to-get-the-parameters"/>
    <w:p>
      <w:pPr>
        <w:pStyle w:val="Heading2"/>
      </w:pPr>
      <w:r>
        <w:t xml:space="preserve">Where to get the parameters</w:t>
      </w:r>
    </w:p>
    <w:p>
      <w:pPr>
        <w:numPr>
          <w:ilvl w:val="0"/>
          <w:numId w:val="1050"/>
        </w:numPr>
        <w:pStyle w:val="Compact"/>
      </w:pPr>
      <w:r>
        <w:t xml:space="preserve">First you need to choose time steps.</w:t>
      </w:r>
    </w:p>
    <w:p>
      <w:pPr>
        <w:numPr>
          <w:ilvl w:val="1"/>
          <w:numId w:val="1051"/>
        </w:numPr>
        <w:pStyle w:val="Compact"/>
      </w:pPr>
      <w:r>
        <w:t xml:space="preserve">Check with your regulator</w:t>
      </w:r>
    </w:p>
    <w:p>
      <w:pPr>
        <w:numPr>
          <w:ilvl w:val="0"/>
          <w:numId w:val="1050"/>
        </w:numPr>
        <w:pStyle w:val="Compact"/>
      </w:pPr>
      <w:r>
        <w:t xml:space="preserve">Usually you use annual.</w:t>
      </w:r>
    </w:p>
    <w:p>
      <w:pPr>
        <w:numPr>
          <w:ilvl w:val="1"/>
          <w:numId w:val="1052"/>
        </w:numPr>
        <w:pStyle w:val="Compact"/>
      </w:pPr>
      <w:r>
        <w:t xml:space="preserve">Nice because you can use annual values for</w:t>
      </w:r>
      <w:r>
        <w:t xml:space="preserve"> </w:t>
      </w:r>
      <m:oMath>
        <m:r>
          <m:t>g</m:t>
        </m:r>
      </m:oMath>
      <w:r>
        <w:t xml:space="preserve"> </w:t>
      </w:r>
      <w:r>
        <w:t xml:space="preserve">and</w:t>
      </w:r>
      <w:r>
        <w:t xml:space="preserve"> </w:t>
      </w:r>
      <m:oMath>
        <m:sSub>
          <m:e>
            <m:r>
              <m:t>D</m:t>
            </m:r>
          </m:e>
          <m:sub>
            <m:r>
              <m:t>0</m:t>
            </m:r>
          </m:sub>
        </m:sSub>
      </m:oMath>
    </w:p>
    <w:p>
      <w:pPr>
        <w:numPr>
          <w:ilvl w:val="1"/>
          <w:numId w:val="1052"/>
        </w:numPr>
        <w:pStyle w:val="Compact"/>
      </w:pPr>
      <w:r>
        <w:t xml:space="preserve">Also less complicated because you don’t have to deal with autocorrelation of</w:t>
      </w:r>
      <w:r>
        <w:t xml:space="preserve"> </w:t>
      </w:r>
      <m:oMath>
        <m:r>
          <m:t>P</m:t>
        </m:r>
      </m:oMath>
      <w:r>
        <w:t xml:space="preserve">.</w:t>
      </w:r>
    </w:p>
    <w:p>
      <w:pPr>
        <w:numPr>
          <w:ilvl w:val="0"/>
          <w:numId w:val="1050"/>
        </w:numPr>
        <w:pStyle w:val="Compact"/>
      </w:pPr>
      <w:r>
        <w:t xml:space="preserve">Prices change minute by minute.</w:t>
      </w:r>
    </w:p>
    <w:p>
      <w:pPr>
        <w:numPr>
          <w:ilvl w:val="0"/>
          <w:numId w:val="1050"/>
        </w:numPr>
        <w:pStyle w:val="Compact"/>
      </w:pPr>
      <w:r>
        <w:t xml:space="preserve">Dividends change annually.</w:t>
      </w:r>
    </w:p>
    <w:p>
      <w:pPr>
        <w:pStyle w:val="FirstParagraph"/>
      </w:pPr>
      <w:r>
        <w:t xml:space="preserve">Often use annual values, and using the average closing price or the last closing price for</w:t>
      </w:r>
      <w:r>
        <w:t xml:space="preserve"> </w:t>
      </w:r>
      <m:oMath>
        <m:r>
          <m:t>P</m:t>
        </m:r>
      </m:oMath>
    </w:p>
    <w:bookmarkEnd w:id="76"/>
    <w:bookmarkStart w:id="77" w:name="but-g"/>
    <w:p>
      <w:pPr>
        <w:pStyle w:val="Heading2"/>
      </w:pPr>
      <w:r>
        <w:t xml:space="preserve">But</w:t>
      </w:r>
      <w:r>
        <w:t xml:space="preserve"> </w:t>
      </w:r>
      <m:oMath>
        <m:r>
          <m:t>g</m:t>
        </m:r>
      </m:oMath>
      <w:r>
        <w:t xml:space="preserve">?</w:t>
      </w:r>
    </w:p>
    <w:p>
      <w:pPr>
        <w:numPr>
          <w:ilvl w:val="0"/>
          <w:numId w:val="1053"/>
        </w:numPr>
      </w:pPr>
      <w:r>
        <w:t xml:space="preserve">g is often a blend of a few things.</w:t>
      </w:r>
    </w:p>
    <w:p>
      <w:pPr>
        <w:numPr>
          <w:ilvl w:val="0"/>
          <w:numId w:val="1053"/>
        </w:numPr>
      </w:pPr>
      <w:r>
        <w:t xml:space="preserve">FERC uses a five-year forecast for that firm in a weighted averaged with GDP growth.</w:t>
      </w:r>
    </w:p>
    <w:p>
      <w:pPr>
        <w:numPr>
          <w:ilvl w:val="0"/>
          <w:numId w:val="1053"/>
        </w:numPr>
      </w:pPr>
      <w:r>
        <w:t xml:space="preserve">Forecasts for publicly traded firms are fairly easy to get either through paid or unpaid sources.</w:t>
      </w:r>
    </w:p>
    <w:p>
      <w:pPr>
        <w:numPr>
          <w:ilvl w:val="0"/>
          <w:numId w:val="1053"/>
        </w:numPr>
      </w:pPr>
      <w:r>
        <w:t xml:space="preserve">But, lets be clear,</w:t>
      </w:r>
      <w:r>
        <w:t xml:space="preserve"> </w:t>
      </w:r>
      <m:oMath>
        <m:r>
          <m:t>g</m:t>
        </m:r>
      </m:oMath>
      <w:r>
        <w:t xml:space="preserve"> </w:t>
      </w:r>
      <w:r>
        <w:t xml:space="preserve">is a random variable with significant noise.</w:t>
      </w:r>
    </w:p>
    <w:bookmarkEnd w:id="77"/>
    <w:bookmarkStart w:id="79" w:name="example-of-g-going-bad."/>
    <w:p>
      <w:pPr>
        <w:pStyle w:val="Heading2"/>
      </w:pPr>
      <w:r>
        <w:t xml:space="preserve">Example of</w:t>
      </w:r>
      <w:r>
        <w:t xml:space="preserve"> </w:t>
      </w:r>
      <m:oMath>
        <m:r>
          <m:t>g</m:t>
        </m:r>
      </m:oMath>
      <w:r>
        <w:t xml:space="preserve"> </w:t>
      </w:r>
      <w:r>
        <w:t xml:space="preserve">going bad.</w:t>
      </w:r>
    </w:p>
    <w:p>
      <w:pPr>
        <w:numPr>
          <w:ilvl w:val="0"/>
          <w:numId w:val="1054"/>
        </w:numPr>
        <w:pStyle w:val="Compact"/>
      </w:pPr>
      <w:r>
        <w:t xml:space="preserve">Start with just GDP forecast uncertainty. You add uncertainty on top of that.</w:t>
      </w:r>
    </w:p>
    <w:p>
      <w:pPr>
        <w:numPr>
          <w:ilvl w:val="0"/>
          <w:numId w:val="1054"/>
        </w:numPr>
        <w:pStyle w:val="Compact"/>
      </w:pPr>
      <w:r>
        <w:t xml:space="preserve">CBO says a standard deviation of 1.3% is average for five year with expected growth of between 2% and 2.4%. Use 2.4% to give the benefit of the doubt.</w:t>
      </w:r>
    </w:p>
    <w:p>
      <w:pPr>
        <w:numPr>
          <w:ilvl w:val="0"/>
          <w:numId w:val="1054"/>
        </w:numPr>
        <w:pStyle w:val="Compact"/>
      </w:pPr>
      <w:r>
        <w:t xml:space="preserve">A normal dividend rate is 2.43%</w:t>
      </w:r>
      <w:r>
        <w:t xml:space="preserve"> </w:t>
      </w:r>
      <w:hyperlink r:id="rId78">
        <w:r>
          <w:rPr>
            <w:rStyle w:val="Hyperlink"/>
          </w:rPr>
          <w:t xml:space="preserve">http://www.dividend.com/dividend-stocks/utilities/electric-utilities/</w:t>
        </w:r>
      </w:hyperlink>
    </w:p>
    <w:p>
      <w:pPr>
        <w:pStyle w:val="FirstParagraph"/>
      </w:pPr>
      <m:oMathPara>
        <m:oMathParaPr>
          <m:jc m:val="center"/>
        </m:oMathParaPr>
        <m:oMath>
          <m:r>
            <m:t>r</m:t>
          </m:r>
          <m:r>
            <m:t>=</m:t>
          </m:r>
          <m:r>
            <m:t>0.0243</m:t>
          </m:r>
          <m:r>
            <m:t>(</m:t>
          </m:r>
          <m:r>
            <m:t>1</m:t>
          </m:r>
          <m:r>
            <m:t>+</m:t>
          </m:r>
          <m:r>
            <m:t>g</m:t>
          </m:r>
          <m:r>
            <m:t>)</m:t>
          </m:r>
          <m:r>
            <m:t>+</m:t>
          </m:r>
          <m:r>
            <m:t>g</m:t>
          </m:r>
          <m:r>
            <m:t> </m:t>
          </m:r>
          <m:r>
            <m:t>w</m:t>
          </m:r>
          <m:r>
            <m:t>i</m:t>
          </m:r>
          <m:r>
            <m:t>t</m:t>
          </m:r>
          <m:r>
            <m:t>h</m:t>
          </m:r>
          <m:r>
            <m:t> </m:t>
          </m:r>
          <m:r>
            <m:t>g</m:t>
          </m:r>
          <m:r>
            <m:t>∼</m:t>
          </m:r>
          <m:r>
            <m:t>N</m:t>
          </m:r>
          <m:r>
            <m:t>(</m:t>
          </m:r>
          <m:r>
            <m:t>.024</m:t>
          </m:r>
          <m:r>
            <m:t>,</m:t>
          </m:r>
          <m:r>
            <m:t>.013</m:t>
          </m:r>
          <m:r>
            <m:t>)</m:t>
          </m:r>
        </m:oMath>
      </m:oMathPara>
    </w:p>
    <w:bookmarkEnd w:id="79"/>
    <w:bookmarkStart w:id="81" w:name="histogram"/>
    <w:p>
      <w:pPr>
        <w:pStyle w:val="Heading2"/>
      </w:pPr>
      <w:r>
        <w:t xml:space="preserve">Histogram</w:t>
      </w:r>
    </w:p>
    <w:p>
      <w:pPr>
        <w:pStyle w:val="FirstParagraph"/>
      </w:pPr>
      <w:r>
        <w:drawing>
          <wp:inline>
            <wp:extent cx="4620126" cy="3696101"/>
            <wp:effectExtent b="0" l="0" r="0" t="0"/>
            <wp:docPr descr="" title="" id="1" name="Picture"/>
            <a:graphic>
              <a:graphicData uri="http://schemas.openxmlformats.org/drawingml/2006/picture">
                <pic:pic>
                  <pic:nvPicPr>
                    <pic:cNvPr descr="CostMeasurements_files/figure-docx/unnamed-chunk-10-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-0.003672  0.039643  0.048862  0.048804  0.057802  0.100476</w:t>
      </w:r>
    </w:p>
    <w:bookmarkEnd w:id="81"/>
    <w:bookmarkStart w:id="82" w:name="more-problems-with-dcf"/>
    <w:p>
      <w:pPr>
        <w:pStyle w:val="Heading2"/>
      </w:pPr>
      <w:r>
        <w:t xml:space="preserve">More Problems with DCF</w:t>
      </w:r>
    </w:p>
    <w:p>
      <w:pPr>
        <w:numPr>
          <w:ilvl w:val="0"/>
          <w:numId w:val="1055"/>
        </w:numPr>
        <w:pStyle w:val="Compact"/>
      </w:pPr>
      <w:r>
        <w:t xml:space="preserve">Capital structure can move this around so comparators have to have similar debt ratios and the bonds need to have similar yield to maturity.</w:t>
      </w:r>
    </w:p>
    <w:p>
      <w:pPr>
        <w:numPr>
          <w:ilvl w:val="0"/>
          <w:numId w:val="1055"/>
        </w:numPr>
        <w:pStyle w:val="Compact"/>
      </w:pPr>
      <w:r>
        <w:t xml:space="preserve">Tends to underestimate values by a factor of 4 when compared to the value of a spark-spread option.</w:t>
      </w:r>
    </w:p>
    <w:p>
      <w:pPr>
        <w:numPr>
          <w:ilvl w:val="0"/>
          <w:numId w:val="1055"/>
        </w:numPr>
        <w:pStyle w:val="Compact"/>
      </w:pPr>
      <w:r>
        <w:t xml:space="preserve">Spark Spread</w:t>
      </w:r>
    </w:p>
    <w:p>
      <w:pPr>
        <w:numPr>
          <w:ilvl w:val="1"/>
          <w:numId w:val="1056"/>
        </w:numPr>
        <w:pStyle w:val="Compact"/>
      </w:pPr>
      <w:r>
        <w:t xml:space="preserve">Spark Spread is the the difference between the price of the fuel and the price of electricity. The gap is is the value added by the generator.</w:t>
      </w:r>
    </w:p>
    <w:p>
      <w:pPr>
        <w:numPr>
          <w:ilvl w:val="1"/>
          <w:numId w:val="1056"/>
        </w:numPr>
        <w:pStyle w:val="Compact"/>
      </w:pPr>
      <w:r>
        <w:t xml:space="preserve">Assumes crazy things like, instant on/off power plants, zero fixed costs, and constant heat rate (BTU/kWh)</w:t>
      </w:r>
    </w:p>
    <w:p>
      <w:pPr>
        <w:numPr>
          <w:ilvl w:val="0"/>
          <w:numId w:val="1055"/>
        </w:numPr>
        <w:pStyle w:val="Compact"/>
      </w:pPr>
      <w:r>
        <w:t xml:space="preserve">Sale of CA generation assets provided more evidence that this was going to value things low.</w:t>
      </w:r>
    </w:p>
    <w:bookmarkEnd w:id="82"/>
    <w:bookmarkStart w:id="83" w:name="capm"/>
    <w:p>
      <w:pPr>
        <w:pStyle w:val="Heading2"/>
      </w:pPr>
      <w:r>
        <w:t xml:space="preserve">CAPM</w:t>
      </w:r>
    </w:p>
    <w:p>
      <w:pPr>
        <w:numPr>
          <w:ilvl w:val="0"/>
          <w:numId w:val="1057"/>
        </w:numPr>
        <w:pStyle w:val="Compact"/>
      </w:pPr>
      <w:r>
        <w:t xml:space="preserve">You can do a full class on just the Asset Pricing Model.</w:t>
      </w:r>
    </w:p>
    <w:p>
      <w:pPr>
        <w:numPr>
          <w:ilvl w:val="0"/>
          <w:numId w:val="1057"/>
        </w:numPr>
        <w:pStyle w:val="Compact"/>
      </w:pPr>
      <w:r>
        <w:t xml:space="preserve">CAPM is ancient, 1961, and has in many places been replaced. I learned it as a special case of when looking at no-arbitrage models.</w:t>
      </w:r>
    </w:p>
    <w:p>
      <w:pPr>
        <w:numPr>
          <w:ilvl w:val="0"/>
          <w:numId w:val="1057"/>
        </w:numPr>
        <w:pStyle w:val="Compact"/>
      </w:pPr>
      <w:r>
        <w:t xml:space="preserve">You can get it from a theoretical model but mostly it is thought of as an empirical relationship.</w:t>
      </w:r>
    </w:p>
    <w:bookmarkEnd w:id="83"/>
    <w:bookmarkStart w:id="84" w:name="capm-key-ideas"/>
    <w:p>
      <w:pPr>
        <w:pStyle w:val="Heading2"/>
      </w:pPr>
      <w:r>
        <w:t xml:space="preserve">CAPM Key Ideas</w:t>
      </w:r>
    </w:p>
    <w:p>
      <w:pPr>
        <w:numPr>
          <w:ilvl w:val="0"/>
          <w:numId w:val="1058"/>
        </w:numPr>
        <w:pStyle w:val="Compact"/>
      </w:pPr>
      <w:r>
        <w:t xml:space="preserve">You are trying to build a portfolio with as high a rate of return as possible given the risk you face.</w:t>
      </w:r>
    </w:p>
    <w:p>
      <w:pPr>
        <w:numPr>
          <w:ilvl w:val="0"/>
          <w:numId w:val="1058"/>
        </w:numPr>
        <w:pStyle w:val="Compact"/>
      </w:pPr>
      <w:r>
        <w:t xml:space="preserve">It is</w:t>
      </w:r>
      <w:r>
        <w:t xml:space="preserve"> </w:t>
      </w:r>
      <w:r>
        <w:rPr>
          <w:i/>
        </w:rPr>
        <w:t xml:space="preserve">mostly</w:t>
      </w:r>
      <w:r>
        <w:t xml:space="preserve"> </w:t>
      </w:r>
      <w:r>
        <w:t xml:space="preserve">true, if a stock is more variable it should have a higher return but:</w:t>
      </w:r>
    </w:p>
    <w:p>
      <w:pPr>
        <w:numPr>
          <w:ilvl w:val="1"/>
          <w:numId w:val="1059"/>
        </w:numPr>
        <w:pStyle w:val="Compact"/>
      </w:pPr>
      <w:r>
        <w:t xml:space="preserve">Insurance is very variable, but pays off big when other things go bad.</w:t>
      </w:r>
    </w:p>
    <w:p>
      <w:pPr>
        <w:numPr>
          <w:ilvl w:val="1"/>
          <w:numId w:val="1059"/>
        </w:numPr>
        <w:pStyle w:val="Compact"/>
      </w:pPr>
      <w:r>
        <w:t xml:space="preserve">It is valuable because it is negatively correlated with everything else.</w:t>
      </w:r>
    </w:p>
    <w:p>
      <w:pPr>
        <w:numPr>
          <w:ilvl w:val="0"/>
          <w:numId w:val="1058"/>
        </w:numPr>
        <w:pStyle w:val="Compact"/>
      </w:pPr>
      <w:r>
        <w:t xml:space="preserve">More accurately, if a stock is</w:t>
      </w:r>
      <w:r>
        <w:t xml:space="preserve"> </w:t>
      </w:r>
      <w:r>
        <w:rPr>
          <w:i/>
        </w:rPr>
        <w:t xml:space="preserve">possitivly correlated</w:t>
      </w:r>
      <w:r>
        <w:t xml:space="preserve"> </w:t>
      </w:r>
      <w:r>
        <w:t xml:space="preserve">with the rest of the market, then if it is more variable it should have a higher return.</w:t>
      </w:r>
    </w:p>
    <w:bookmarkEnd w:id="84"/>
    <w:bookmarkStart w:id="85" w:name="the-one-parameter-model"/>
    <w:p>
      <w:pPr>
        <w:pStyle w:val="Heading2"/>
      </w:pPr>
      <w:r>
        <w:t xml:space="preserve">The One Parameter Model</w:t>
      </w:r>
    </w:p>
    <w:p>
      <w:pPr>
        <w:pStyle w:val="FirstParagraph"/>
      </w:pPr>
      <m:oMathPara>
        <m:oMathParaPr>
          <m:jc m:val="center"/>
        </m:oMathParaPr>
        <m:oMath>
          <m:r>
            <m:t>E</m:t>
          </m:r>
          <m:r>
            <m:t>(</m:t>
          </m:r>
          <m:r>
            <m:t>R</m:t>
          </m:r>
          <m:r>
            <m:t>)</m:t>
          </m:r>
          <m:r>
            <m:t>=</m:t>
          </m:r>
          <m:sSub>
            <m:e>
              <m:r>
                <m:t>R</m:t>
              </m:r>
            </m:e>
            <m:sub>
              <m:r>
                <m:t>f</m:t>
              </m:r>
            </m:sub>
          </m:sSub>
          <m:r>
            <m:t>+</m:t>
          </m:r>
          <m:r>
            <m:t>β</m:t>
          </m:r>
          <m:d>
            <m:dPr>
              <m:begChr m:val="["/>
              <m:endChr m:val="]"/>
              <m:grow/>
            </m:dPr>
            <m:e>
              <m:r>
                <m:t>E</m:t>
              </m:r>
              <m:r>
                <m:t>(</m:t>
              </m:r>
              <m:sSub>
                <m:e>
                  <m:r>
                    <m:t>R</m:t>
                  </m:r>
                </m:e>
                <m:sub>
                  <m:r>
                    <m:t>m</m:t>
                  </m:r>
                </m:sub>
              </m:sSub>
              <m:r>
                <m:t>)</m:t>
              </m:r>
              <m:r>
                <m:t>−</m:t>
              </m:r>
              <m:sSub>
                <m:e>
                  <m:r>
                    <m:t>R</m:t>
                  </m:r>
                </m:e>
                <m:sub>
                  <m:r>
                    <m:t>f</m:t>
                  </m:r>
                </m:sub>
              </m:sSub>
            </m:e>
          </m:d>
        </m:oMath>
      </m:oMathPara>
    </w:p>
    <w:p>
      <w:pPr>
        <w:numPr>
          <w:ilvl w:val="0"/>
          <w:numId w:val="1060"/>
        </w:numPr>
        <w:pStyle w:val="Compact"/>
      </w:pPr>
      <m:oMath>
        <m:r>
          <m:t>E</m:t>
        </m:r>
        <m:r>
          <m:t>(</m:t>
        </m:r>
        <m:r>
          <m:t>R</m:t>
        </m:r>
        <m:r>
          <m:t>)</m:t>
        </m:r>
      </m:oMath>
      <w:r>
        <w:t xml:space="preserve">: Expected rate of return on the security</w:t>
      </w:r>
    </w:p>
    <w:p>
      <w:pPr>
        <w:numPr>
          <w:ilvl w:val="0"/>
          <w:numId w:val="1060"/>
        </w:numPr>
        <w:pStyle w:val="Compact"/>
      </w:pPr>
      <m:oMath>
        <m:r>
          <m:t>E</m:t>
        </m:r>
        <m:r>
          <m:t>(</m:t>
        </m:r>
        <m:sSub>
          <m:e>
            <m:r>
              <m:t>R</m:t>
            </m:r>
          </m:e>
          <m:sub>
            <m:r>
              <m:t>m</m:t>
            </m:r>
          </m:sub>
        </m:sSub>
        <m:r>
          <m:t>)</m:t>
        </m:r>
      </m:oMath>
      <w:r>
        <w:t xml:space="preserve">: Expected rate of return on the market,S&amp;P 500 is common.</w:t>
      </w:r>
    </w:p>
    <w:p>
      <w:pPr>
        <w:numPr>
          <w:ilvl w:val="0"/>
          <w:numId w:val="1060"/>
        </w:numPr>
        <w:pStyle w:val="Compact"/>
      </w:pPr>
      <m:oMath>
        <m:sSub>
          <m:e>
            <m:r>
              <m:t>R</m:t>
            </m:r>
          </m:e>
          <m:sub>
            <m:r>
              <m:t>f</m:t>
            </m:r>
          </m:sub>
        </m:sSub>
      </m:oMath>
      <w:r>
        <w:t xml:space="preserve">: Risk free rate, usually the 30-Day Treasury bill.</w:t>
      </w:r>
    </w:p>
    <w:p>
      <w:pPr>
        <w:numPr>
          <w:ilvl w:val="0"/>
          <w:numId w:val="1060"/>
        </w:numPr>
        <w:pStyle w:val="Compact"/>
      </w:pPr>
      <m:oMath>
        <m:r>
          <m:t>β</m:t>
        </m:r>
      </m:oMath>
      <w:r>
        <w:t xml:space="preserve">: Yes, they call it</w:t>
      </w:r>
      <w:r>
        <w:t xml:space="preserve"> </w:t>
      </w:r>
      <w:r>
        <w:t xml:space="preserve">“</w:t>
      </w:r>
      <w:r>
        <w:t xml:space="preserve">beta</w:t>
      </w:r>
      <w:r>
        <w:t xml:space="preserve">”</w:t>
      </w:r>
      <w:r>
        <w:t xml:space="preserve"> </w:t>
      </w:r>
      <w:r>
        <w:t xml:space="preserve">how market risk, everything moving at once, is reflected in the price of this stock.</w:t>
      </w:r>
    </w:p>
    <w:p>
      <w:pPr>
        <w:numPr>
          <w:ilvl w:val="1"/>
          <w:numId w:val="1061"/>
        </w:numPr>
        <w:pStyle w:val="Compact"/>
      </w:pPr>
      <w:r>
        <w:t xml:space="preserve">If</w:t>
      </w:r>
      <w:r>
        <w:t xml:space="preserve"> </w:t>
      </w:r>
      <m:oMath>
        <m:r>
          <m:t>β</m:t>
        </m:r>
        <m:r>
          <m:t>=</m:t>
        </m:r>
        <m:r>
          <m:t>0</m:t>
        </m:r>
      </m:oMath>
      <w:r>
        <w:t xml:space="preserve"> </w:t>
      </w:r>
      <w:r>
        <w:t xml:space="preserve">a 1% increase in the market return increases the stock by the same 1%.</w:t>
      </w:r>
    </w:p>
    <w:p>
      <w:pPr>
        <w:numPr>
          <w:ilvl w:val="1"/>
          <w:numId w:val="1061"/>
        </w:numPr>
        <w:pStyle w:val="Compact"/>
      </w:pPr>
      <w:r>
        <w:t xml:space="preserve">If</w:t>
      </w:r>
      <w:r>
        <w:t xml:space="preserve"> </w:t>
      </w:r>
      <m:oMath>
        <m:r>
          <m:t>β</m:t>
        </m:r>
        <m:r>
          <m:t>&lt;</m:t>
        </m:r>
        <m:r>
          <m:t>0</m:t>
        </m:r>
      </m:oMath>
      <w:r>
        <w:t xml:space="preserve"> </w:t>
      </w:r>
      <w:r>
        <w:t xml:space="preserve">Then the change in return is less than the market.</w:t>
      </w:r>
    </w:p>
    <w:bookmarkEnd w:id="85"/>
    <w:bookmarkStart w:id="86" w:name="implement-as-regression"/>
    <w:p>
      <w:pPr>
        <w:pStyle w:val="Heading2"/>
      </w:pPr>
      <w:r>
        <w:t xml:space="preserve">Implement as Regression</w:t>
      </w:r>
    </w:p>
    <w:p>
      <w:pPr>
        <w:pStyle w:val="FirstParagraph"/>
      </w:pPr>
      <m:oMathPara>
        <m:oMathParaPr>
          <m:jc m:val="center"/>
        </m:oMathParaPr>
        <m:oMath>
          <m:sSub>
            <m:e>
              <m:r>
                <m:t>R</m:t>
              </m:r>
            </m:e>
            <m:sub>
              <m:r>
                <m:t>i</m:t>
              </m:r>
            </m:sub>
          </m:sSub>
          <m:r>
            <m:t>−</m:t>
          </m:r>
          <m:sSub>
            <m:e>
              <m:r>
                <m:t>R</m:t>
              </m:r>
            </m:e>
            <m:sub>
              <m:r>
                <m:t>f</m:t>
              </m:r>
            </m:sub>
          </m:sSub>
          <m:r>
            <m:t>=</m:t>
          </m:r>
          <m:r>
            <m:t>α</m:t>
          </m:r>
          <m:r>
            <m:t>+</m:t>
          </m:r>
          <m:r>
            <m:t>β</m:t>
          </m:r>
          <m:d>
            <m:dPr>
              <m:begChr m:val="["/>
              <m:endChr m:val="]"/>
              <m:grow/>
            </m:dPr>
            <m:e>
              <m:sSub>
                <m:e>
                  <m:r>
                    <m:t>R</m:t>
                  </m:r>
                </m:e>
                <m:sub>
                  <m:r>
                    <m:t>m</m:t>
                  </m:r>
                </m:sub>
              </m:sSub>
              <m:r>
                <m:t>−</m:t>
              </m:r>
              <m:sSub>
                <m:e>
                  <m:r>
                    <m:t>R</m:t>
                  </m:r>
                </m:e>
                <m:sub>
                  <m:r>
                    <m:t>f</m:t>
                  </m:r>
                </m:sub>
              </m:sSub>
            </m:e>
          </m:d>
          <m:r>
            <m:t>+</m:t>
          </m:r>
          <m:r>
            <m:t>ϵ</m:t>
          </m:r>
        </m:oMath>
      </m:oMathPara>
    </w:p>
    <w:p>
      <w:pPr>
        <w:numPr>
          <w:ilvl w:val="0"/>
          <w:numId w:val="1062"/>
        </w:numPr>
        <w:pStyle w:val="Compact"/>
      </w:pPr>
      <w:r>
        <w:t xml:space="preserve">On the left subtract the risk free rate from the rate of the stock you are evaluating.</w:t>
      </w:r>
    </w:p>
    <w:p>
      <w:pPr>
        <w:numPr>
          <w:ilvl w:val="0"/>
          <w:numId w:val="1062"/>
        </w:numPr>
        <w:pStyle w:val="Compact"/>
      </w:pPr>
      <w:r>
        <w:t xml:space="preserve">on the right subtract the risk free rate of return from the market return.</w:t>
      </w:r>
    </w:p>
    <w:p>
      <w:pPr>
        <w:numPr>
          <w:ilvl w:val="0"/>
          <w:numId w:val="1062"/>
        </w:numPr>
        <w:pStyle w:val="Compact"/>
      </w:pPr>
      <m:oMath>
        <m:r>
          <m:t>α</m:t>
        </m:r>
      </m:oMath>
      <w:r>
        <w:t xml:space="preserve"> </w:t>
      </w:r>
      <w:r>
        <w:t xml:space="preserve">is how well the firm did for the risk it faced.</w:t>
      </w:r>
    </w:p>
    <w:p>
      <w:pPr>
        <w:numPr>
          <w:ilvl w:val="1"/>
          <w:numId w:val="1063"/>
        </w:numPr>
        <w:pStyle w:val="Compact"/>
      </w:pPr>
      <m:oMath>
        <m:r>
          <m:t>α</m:t>
        </m:r>
        <m:r>
          <m:t>=</m:t>
        </m:r>
        <m:r>
          <m:t>0</m:t>
        </m:r>
      </m:oMath>
      <w:r>
        <w:t xml:space="preserve"> </w:t>
      </w:r>
      <w:r>
        <w:t xml:space="preserve">as well as the market</w:t>
      </w:r>
    </w:p>
    <w:p>
      <w:pPr>
        <w:numPr>
          <w:ilvl w:val="1"/>
          <w:numId w:val="1063"/>
        </w:numPr>
        <w:pStyle w:val="Compact"/>
      </w:pPr>
      <m:oMath>
        <m:r>
          <m:t>α</m:t>
        </m:r>
        <m:r>
          <m:t>&gt;</m:t>
        </m:r>
        <m:r>
          <m:t>0</m:t>
        </m:r>
      </m:oMath>
      <w:r>
        <w:t xml:space="preserve"> </w:t>
      </w:r>
      <w:r>
        <w:t xml:space="preserve">better than the market.</w:t>
      </w:r>
    </w:p>
    <w:p>
      <w:pPr>
        <w:pStyle w:val="FirstParagraph"/>
      </w:pPr>
      <w:r>
        <w:t xml:space="preserve">Use:</w:t>
      </w:r>
    </w:p>
    <w:p>
      <w:pPr>
        <w:numPr>
          <w:ilvl w:val="0"/>
          <w:numId w:val="1064"/>
        </w:numPr>
        <w:pStyle w:val="Compact"/>
      </w:pPr>
      <w:r>
        <w:t xml:space="preserve">Use data from the other firms then</w:t>
      </w:r>
    </w:p>
    <w:p>
      <w:pPr>
        <w:numPr>
          <w:ilvl w:val="0"/>
          <w:numId w:val="1064"/>
        </w:numPr>
        <w:pStyle w:val="Compact"/>
      </w:pPr>
      <w:r>
        <w:t xml:space="preserve">Use the model to forecast what the return on your firm should be.</w:t>
      </w:r>
    </w:p>
    <w:bookmarkEnd w:id="86"/>
    <w:bookmarkStart w:id="87" w:name="many-variations"/>
    <w:p>
      <w:pPr>
        <w:pStyle w:val="Heading2"/>
      </w:pPr>
      <w:r>
        <w:t xml:space="preserve">Many Variations</w:t>
      </w:r>
    </w:p>
    <w:p>
      <w:pPr>
        <w:numPr>
          <w:ilvl w:val="0"/>
          <w:numId w:val="1065"/>
        </w:numPr>
        <w:pStyle w:val="Compact"/>
      </w:pPr>
      <w:r>
        <w:t xml:space="preserve">Without risk-free rate, Black (1972)</w:t>
      </w:r>
    </w:p>
    <w:p>
      <w:pPr>
        <w:numPr>
          <w:ilvl w:val="0"/>
          <w:numId w:val="1065"/>
        </w:numPr>
        <w:pStyle w:val="Compact"/>
      </w:pPr>
      <w:r>
        <w:t xml:space="preserve">Lifetime consumption, Merton (1973)</w:t>
      </w:r>
    </w:p>
    <w:p>
      <w:pPr>
        <w:numPr>
          <w:ilvl w:val="0"/>
          <w:numId w:val="1065"/>
        </w:numPr>
        <w:pStyle w:val="Compact"/>
      </w:pPr>
      <w:r>
        <w:t xml:space="preserve">Dividends, taxes, Brennan (1970)</w:t>
      </w:r>
    </w:p>
    <w:p>
      <w:pPr>
        <w:numPr>
          <w:ilvl w:val="0"/>
          <w:numId w:val="1065"/>
        </w:numPr>
        <w:pStyle w:val="Compact"/>
      </w:pPr>
      <w:r>
        <w:t xml:space="preserve">Foreign exchange, Solnik (1974)</w:t>
      </w:r>
    </w:p>
    <w:p>
      <w:pPr>
        <w:numPr>
          <w:ilvl w:val="0"/>
          <w:numId w:val="1065"/>
        </w:numPr>
        <w:pStyle w:val="Compact"/>
      </w:pPr>
      <w:r>
        <w:t xml:space="preserve">Inflation, Long (1974)</w:t>
      </w:r>
    </w:p>
    <w:bookmarkEnd w:id="87"/>
    <w:bookmarkStart w:id="88" w:name="what-can-trip-you-up"/>
    <w:p>
      <w:pPr>
        <w:pStyle w:val="Heading2"/>
      </w:pPr>
      <w:r>
        <w:t xml:space="preserve">What Can Trip You Up</w:t>
      </w:r>
    </w:p>
    <w:p>
      <w:pPr>
        <w:numPr>
          <w:ilvl w:val="0"/>
          <w:numId w:val="1066"/>
        </w:numPr>
        <w:pStyle w:val="Compact"/>
      </w:pPr>
      <w:r>
        <w:t xml:space="preserve">Influential observations</w:t>
      </w:r>
    </w:p>
    <w:p>
      <w:pPr>
        <w:numPr>
          <w:ilvl w:val="1"/>
          <w:numId w:val="1067"/>
        </w:numPr>
        <w:pStyle w:val="Compact"/>
      </w:pPr>
      <w:r>
        <w:t xml:space="preserve">Relationship driven by just a few outliers.</w:t>
      </w:r>
    </w:p>
    <w:p>
      <w:pPr>
        <w:numPr>
          <w:ilvl w:val="1"/>
          <w:numId w:val="1067"/>
        </w:numPr>
        <w:pStyle w:val="Compact"/>
      </w:pPr>
      <w:r>
        <w:t xml:space="preserve">Check with Cooks Distance or leverage (Diagonal of projection matrix)</w:t>
      </w:r>
    </w:p>
    <w:p>
      <w:pPr>
        <w:numPr>
          <w:ilvl w:val="1"/>
          <w:numId w:val="1067"/>
        </w:numPr>
        <w:pStyle w:val="Compact"/>
      </w:pPr>
      <w:r>
        <w:t xml:space="preserve">You can drop these or</w:t>
      </w:r>
    </w:p>
    <w:p>
      <w:pPr>
        <w:numPr>
          <w:ilvl w:val="1"/>
          <w:numId w:val="1067"/>
        </w:numPr>
        <w:pStyle w:val="Compact"/>
      </w:pPr>
      <w:r>
        <w:t xml:space="preserve">Use Least Absolute Deviation estimator.</w:t>
      </w:r>
    </w:p>
    <w:p>
      <w:pPr>
        <w:numPr>
          <w:ilvl w:val="0"/>
          <w:numId w:val="1066"/>
        </w:numPr>
        <w:pStyle w:val="Compact"/>
      </w:pPr>
      <w:r>
        <w:t xml:space="preserve">Multiple observations of individual firms</w:t>
      </w:r>
    </w:p>
    <w:p>
      <w:pPr>
        <w:numPr>
          <w:ilvl w:val="1"/>
          <w:numId w:val="1068"/>
        </w:numPr>
        <w:pStyle w:val="Compact"/>
      </w:pPr>
      <w:r>
        <w:t xml:space="preserve">People often leave them in because they think more observations is better.</w:t>
      </w:r>
    </w:p>
    <w:p>
      <w:pPr>
        <w:numPr>
          <w:ilvl w:val="1"/>
          <w:numId w:val="1068"/>
        </w:numPr>
        <w:pStyle w:val="Compact"/>
      </w:pPr>
      <w:r>
        <w:t xml:space="preserve">The observations are correlated with each other.</w:t>
      </w:r>
    </w:p>
    <w:p>
      <w:pPr>
        <w:numPr>
          <w:ilvl w:val="1"/>
          <w:numId w:val="1068"/>
        </w:numPr>
        <w:pStyle w:val="Compact"/>
      </w:pPr>
      <w:r>
        <w:t xml:space="preserve">Either avoid or use some panel data methods.</w:t>
      </w:r>
    </w:p>
    <w:bookmarkEnd w:id="88"/>
    <w:bookmarkStart w:id="89" w:name="how-can-this-be-worse"/>
    <w:p>
      <w:pPr>
        <w:pStyle w:val="Heading2"/>
      </w:pPr>
      <w:r>
        <w:t xml:space="preserve">How can this be worse?</w:t>
      </w:r>
    </w:p>
    <w:p>
      <w:pPr>
        <w:numPr>
          <w:ilvl w:val="0"/>
          <w:numId w:val="1069"/>
        </w:numPr>
        <w:pStyle w:val="Compact"/>
      </w:pPr>
      <w:r>
        <w:t xml:space="preserve">Still has the assumption that the capital structure, debt ratio, is the same in all firms.</w:t>
      </w:r>
    </w:p>
    <w:p>
      <w:pPr>
        <w:numPr>
          <w:ilvl w:val="0"/>
          <w:numId w:val="1069"/>
        </w:numPr>
        <w:pStyle w:val="Compact"/>
      </w:pPr>
      <w:r>
        <w:t xml:space="preserve">Sometimes you have to dig back in the income statement and find</w:t>
      </w:r>
    </w:p>
    <w:p>
      <w:pPr>
        <w:numPr>
          <w:ilvl w:val="1"/>
          <w:numId w:val="1070"/>
        </w:numPr>
        <w:pStyle w:val="Compact"/>
      </w:pPr>
      <w:r>
        <w:t xml:space="preserve">Earnings before interest taxes and depreciation, EBITD</w:t>
      </w:r>
    </w:p>
    <w:p>
      <w:pPr>
        <w:numPr>
          <w:ilvl w:val="1"/>
          <w:numId w:val="1070"/>
        </w:numPr>
        <w:pStyle w:val="Compact"/>
      </w:pPr>
      <w:r>
        <w:t xml:space="preserve">Total Assets</w:t>
      </w:r>
    </w:p>
    <w:p>
      <w:pPr>
        <w:numPr>
          <w:ilvl w:val="1"/>
          <w:numId w:val="1070"/>
        </w:numPr>
        <w:pStyle w:val="Compact"/>
      </w:pPr>
      <w:r>
        <w:t xml:space="preserve">Debt ratio</w:t>
      </w:r>
    </w:p>
    <w:p>
      <w:pPr>
        <w:numPr>
          <w:ilvl w:val="1"/>
          <w:numId w:val="1070"/>
        </w:numPr>
        <w:pStyle w:val="Compact"/>
      </w:pPr>
      <w:r>
        <w:t xml:space="preserve">The tax rate (t)</w:t>
      </w:r>
    </w:p>
    <w:p>
      <w:pPr>
        <w:numPr>
          <w:ilvl w:val="1"/>
          <w:numId w:val="1070"/>
        </w:numPr>
        <w:pStyle w:val="Compact"/>
      </w:pPr>
      <w:r>
        <w:t xml:space="preserve">This give</w:t>
      </w:r>
      <w:r>
        <w:t xml:space="preserve"> </w:t>
      </w:r>
      <w:r>
        <w:t xml:space="preserve">“</w:t>
      </w:r>
      <w:r>
        <w:t xml:space="preserve">return on total assets</w:t>
      </w:r>
      <w:r>
        <w:t xml:space="preserve">”</w:t>
      </w:r>
      <w:r>
        <w:t xml:space="preserve">,</w:t>
      </w:r>
      <w:r>
        <w:t xml:space="preserve"> </w:t>
      </w:r>
      <m:oMath>
        <m:f>
          <m:fPr>
            <m:type m:val="bar"/>
          </m:fPr>
          <m:num>
            <m:r>
              <m:t>E</m:t>
            </m:r>
            <m:r>
              <m:t>B</m:t>
            </m:r>
            <m:r>
              <m:t>I</m:t>
            </m:r>
            <m:r>
              <m:t>T</m:t>
            </m:r>
          </m:num>
          <m:den>
            <m:r>
              <m:t>A</m:t>
            </m:r>
            <m:r>
              <m:t>s</m:t>
            </m:r>
            <m:r>
              <m:t>s</m:t>
            </m:r>
            <m:r>
              <m:t>e</m:t>
            </m:r>
            <m:r>
              <m:t>t</m:t>
            </m:r>
            <m:r>
              <m:t>s</m:t>
            </m:r>
          </m:den>
        </m:f>
      </m:oMath>
      <w:r>
        <w:t xml:space="preserve">, rather than</w:t>
      </w:r>
      <w:r>
        <w:t xml:space="preserve"> </w:t>
      </w:r>
      <w:r>
        <w:t xml:space="preserve">“</w:t>
      </w:r>
      <w:r>
        <w:t xml:space="preserve">return on common equity</w:t>
      </w:r>
      <w:r>
        <w:t xml:space="preserve">”</w:t>
      </w:r>
      <w:r>
        <w:t xml:space="preserve">.</w:t>
      </w:r>
    </w:p>
    <w:p>
      <w:pPr>
        <w:numPr>
          <w:ilvl w:val="0"/>
          <w:numId w:val="1069"/>
        </w:numPr>
        <w:pStyle w:val="Compact"/>
      </w:pPr>
      <w:r>
        <w:t xml:space="preserve">Run the regression as before but adjust the resulting</w:t>
      </w:r>
      <w:r>
        <w:t xml:space="preserve"> </w:t>
      </w:r>
      <m:oMath>
        <m:r>
          <m:t>β</m:t>
        </m:r>
      </m:oMath>
      <w:r>
        <w:t xml:space="preserve">.</w:t>
      </w:r>
    </w:p>
    <w:p>
      <w:pPr>
        <w:numPr>
          <w:ilvl w:val="1"/>
          <w:numId w:val="1071"/>
        </w:numPr>
        <w:pStyle w:val="Compact"/>
      </w:pPr>
      <m:oMath>
        <m:sSub>
          <m:e>
            <m:r>
              <m:t>β</m:t>
            </m:r>
          </m:e>
          <m:sub>
            <m:r>
              <m:t>l</m:t>
            </m:r>
          </m:sub>
        </m:sSub>
        <m:r>
          <m:t>=</m:t>
        </m:r>
        <m:r>
          <m:t>β</m:t>
        </m:r>
        <m:d>
          <m:dPr>
            <m:begChr m:val="["/>
            <m:endChr m:val="]"/>
            <m:grow/>
          </m:dPr>
          <m:e>
            <m:r>
              <m:t>1</m:t>
            </m:r>
            <m:r>
              <m:t>+</m:t>
            </m:r>
            <m:r>
              <m:t>(</m:t>
            </m:r>
            <m:r>
              <m:t>1</m:t>
            </m:r>
            <m:r>
              <m:t>−</m:t>
            </m:r>
            <m:r>
              <m:t>t</m:t>
            </m:r>
            <m:r>
              <m:t>)</m:t>
            </m:r>
            <m:r>
              <m:t>(</m:t>
            </m:r>
            <m:r>
              <m:t>1</m:t>
            </m:r>
            <m:r>
              <m:t>−</m:t>
            </m:r>
            <m:r>
              <m:t>D</m:t>
            </m:r>
            <m:r>
              <m:t>e</m:t>
            </m:r>
            <m:r>
              <m:t>b</m:t>
            </m:r>
            <m:r>
              <m:t>t</m:t>
            </m:r>
            <m:r>
              <m:t> </m:t>
            </m:r>
            <m:r>
              <m:t>R</m:t>
            </m:r>
            <m:r>
              <m:t>a</m:t>
            </m:r>
            <m:r>
              <m:t>t</m:t>
            </m:r>
            <m:r>
              <m:t>i</m:t>
            </m:r>
            <m:r>
              <m:t>o</m:t>
            </m:r>
            <m:r>
              <m:t>)</m:t>
            </m:r>
          </m:e>
        </m:d>
      </m:oMath>
    </w:p>
    <w:p>
      <w:pPr>
        <w:numPr>
          <w:ilvl w:val="1"/>
          <w:numId w:val="1071"/>
        </w:numPr>
        <w:pStyle w:val="Compact"/>
      </w:pPr>
      <w:r>
        <w:t xml:space="preserve">Assumes no noise in the debt ratio and tax rate but mostly works.</w:t>
      </w:r>
    </w:p>
    <w:bookmarkEnd w:id="89"/>
    <w:bookmarkStart w:id="90" w:name="next-week"/>
    <w:p>
      <w:pPr>
        <w:pStyle w:val="Heading2"/>
      </w:pPr>
      <w:r>
        <w:t xml:space="preserve">Next Week</w:t>
      </w:r>
    </w:p>
    <w:p>
      <w:pPr>
        <w:numPr>
          <w:ilvl w:val="0"/>
          <w:numId w:val="1072"/>
        </w:numPr>
        <w:pStyle w:val="Compact"/>
      </w:pPr>
      <w:r>
        <w:t xml:space="preserve">Start reading chapter 6.</w:t>
      </w:r>
    </w:p>
    <w:p>
      <w:pPr>
        <w:numPr>
          <w:ilvl w:val="0"/>
          <w:numId w:val="1072"/>
        </w:numPr>
        <w:pStyle w:val="Compact"/>
      </w:pPr>
      <w:r>
        <w:t xml:space="preserve">We need to decide if you want a regression based homework.</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42" Target="media/rId42.png" /><Relationship Type="http://schemas.openxmlformats.org/officeDocument/2006/relationships/hyperlink" Id="rId50" Target="http://stats.lib.pdx.edu/proxy.php?url=http://www.sciencedirect.com/science/article/pii/S1040619011001722" TargetMode="External" /><Relationship Type="http://schemas.openxmlformats.org/officeDocument/2006/relationships/hyperlink" Id="rId78" Target="http://www.dividend.com/dividend-stocks/utilities/electric-utilities/" TargetMode="External" /><Relationship Type="http://schemas.openxmlformats.org/officeDocument/2006/relationships/hyperlink" Id="rId57" Target="https://www.ferc.gov/CalendarFiles/20160928194709-EL14-12-002.pdf" TargetMode="External" /></Relationships>
</file>

<file path=word/_rels/footnotes.xml.rels><?xml version="1.0" encoding="UTF-8"?>
<Relationships xmlns="http://schemas.openxmlformats.org/package/2006/relationships"><Relationship Type="http://schemas.openxmlformats.org/officeDocument/2006/relationships/hyperlink" Id="rId50" Target="http://stats.lib.pdx.edu/proxy.php?url=http://www.sciencedirect.com/science/article/pii/S1040619011001722" TargetMode="External" /><Relationship Type="http://schemas.openxmlformats.org/officeDocument/2006/relationships/hyperlink" Id="rId78" Target="http://www.dividend.com/dividend-stocks/utilities/electric-utilities/" TargetMode="External" /><Relationship Type="http://schemas.openxmlformats.org/officeDocument/2006/relationships/hyperlink" Id="rId57" Target="https://www.ferc.gov/CalendarFiles/20160928194709-EL14-12-00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Measurements (Ch 5)</dc:title>
  <dc:creator>James Woods</dc:creator>
  <cp:keywords/>
  <dcterms:created xsi:type="dcterms:W3CDTF">2021-03-01T17:02:41Z</dcterms:created>
  <dcterms:modified xsi:type="dcterms:W3CDTF">2021-03-01T17:02:41Z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