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Targets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25-30 total HUBS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600 participants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HUBs in Ontario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do we provide HUBs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promo material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host a hackathon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Local Champions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types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 game studios to partner with in each province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Need to find out how to much it is to rebrand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Need to decide on type of GF - what we have traditional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Outreach: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local game studios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Livestream for event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self sufficient 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Hotline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Just hackathon event rules and regs help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technical Help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More game design and overall how to make a winning game then technical coding stuff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Mini-games during hackathon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tweeting out questions/challenges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hosting mini games during the weekend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Submissions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lets open it up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let people build beyond mobile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Next steps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 Universities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 Game schools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 art schools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 Sponsors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Prepare Event 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HUBS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Target Schools for HUBS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 need to reach schools with most possible participants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Sponsors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 game studio partners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 overall Sponsors for the whole 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 local sponsors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$75,000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need creative ways for prizes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reuse as much stuff from past GCAs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studio partner could provide the cash/funding prize as a part of their own initiative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Next steps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Onboard School Champions and HUBS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 Universities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20-30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 Game schools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5-10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 art schools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5-10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Messaging for reach out to onboard schools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 Sponsors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Overall sponsors for the 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studio partners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Local HUB sponsors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 Prepare Event 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HUB reach out plan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School out reach target list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School outreach messaging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Target Numbers for the 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Event Overview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Participant engagement plan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who they 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will we reach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will we get them to participate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Sponsorship deck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 sponsors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hack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local sponsors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studio sponsors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give reasons for why they would sponsor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value do the sponsors get from the GCA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31st reach out to sponsors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following friday reach out to schools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Website live sept 1st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website complete 15th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Nov 26th grande finale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