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 for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Branding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Branding all over a national hackathon including on the GCA website, swag, marketing material and the option of basing the GCA theme around your brand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Recruitment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Recruit from a technically talented group of future graduates looking for jobs while having the power to look beyond resumes and interviews to a candidate's’ product development capabilities, team dynamics and stress resistance.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Connect &amp; Engage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Tap into and activate a tech-savvy student community of creative enthusiasts that will engage with your brand, services and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Innovation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at the front of a hackathon, a hotbed for innovation where those with the passion to create, build something out of nothing.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Tap into and activate a tech-savvy student community of enthusiasts.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Connect and engage with the university and college student demographic and spur them to engage with your brand, services and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Engagement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Engage with university and college students and drive them to engage with your brand, services and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Tap into and activate a tech-savvy student community of enthusiasts.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Innovation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Hackathons are a hotbed for innovation and are where those with the passion to create, build something out of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gain developer trust and open new growth opportunities.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32"/>
          <w:szCs w:val="32"/>
          <w:rtl w:val="0"/>
        </w:rPr>
        <w:t xml:space="preserve">BRANDING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Base the GCA5 theme around your brand, resulting in games being built with your brand's elements incorporated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32"/>
          <w:szCs w:val="32"/>
          <w:rtl w:val="0"/>
        </w:rPr>
        <w:t xml:space="preserve">RECRUITMENT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Recruit from technically talented group of future graduates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32"/>
          <w:szCs w:val="32"/>
          <w:rtl w:val="0"/>
        </w:rPr>
        <w:t xml:space="preserve">CONNECT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Connect your brand directly with the university and college student demographic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32"/>
          <w:szCs w:val="32"/>
          <w:rtl w:val="0"/>
        </w:rPr>
        <w:t xml:space="preserve">COMMUNITY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tap into the student developer community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32"/>
          <w:szCs w:val="32"/>
          <w:rtl w:val="0"/>
        </w:rPr>
        <w:t xml:space="preserve">ENGAGEMENT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Montserrat" w:cs="Montserrat" w:eastAsia="Montserrat" w:hAnsi="Montserrat"/>
          <w:color w:val="434343"/>
          <w:sz w:val="32"/>
          <w:szCs w:val="32"/>
          <w:rtl w:val="0"/>
        </w:rPr>
        <w:t xml:space="preserve">Opportunity for participants to engage with your brand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ontserrat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/Relationships>
</file>