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Landing page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Clear message -</w:t>
      </w:r>
      <w:r w:rsidDel="00000000" w:rsidR="00000000" w:rsidRPr="00000000">
        <w:rPr>
          <w:rtl w:val="0"/>
        </w:rPr>
        <w:t xml:space="preserve"> overview of what a hackathon is and what we 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have a hackathon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 reasons why to have a 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Clear CTA - </w:t>
      </w:r>
      <w:r w:rsidDel="00000000" w:rsidR="00000000" w:rsidRPr="00000000">
        <w:rPr>
          <w:rtl w:val="0"/>
        </w:rPr>
        <w:t xml:space="preserve">Plan a hackathon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Hackworks?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Brief text description of why hackworks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(Testimonials)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Partners and sponsors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Subscribe to Newsletter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photo gallery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social feed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Contact: Address, Phone number, 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Media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Expertise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our expertise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overview of all our expertise 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overview of our services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makes us unique and brilliant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Hackworks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clear description 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Link to: services,expertise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the team/ join the team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GCA success case study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CODE success case studies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logos of past sponsors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Blog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