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75" w:lineRule="auto"/>
        <w:contextualSpacing w:val="0"/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following skills and experience: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A bachelor’s degree in </w:t>
      </w:r>
      <w:hyperlink r:id="rId5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journalism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or communications with at least three to five-plus years of experience in developing content for multiple channels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A passion for </w:t>
      </w:r>
      <w:hyperlink r:id="rId6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social media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and understanding of user behavior and expectations in social channels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Demonstrated excellent verbal, written, presentation, and interpersonal communication skills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Knowledge and understanding of content management and </w:t>
      </w:r>
      <w:hyperlink r:id="rId7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publishing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procedures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Basic technical understanding of CMS, databases, and publishing software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Familiarity with </w:t>
      </w:r>
      <w:hyperlink r:id="rId8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SEO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content strategies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Familiarity with </w:t>
      </w:r>
      <w:hyperlink r:id="rId9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marketing automation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, and lead-nurturing programs and software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Ability to interact and maintain good working </w:t>
      </w:r>
      <w:hyperlink r:id="rId10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relationships within a team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, including presenting findings and recommendations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Ability to take initiative and proactively seek opportunities, identify gaps, and recommend ongoing improvements in how </w:t>
      </w:r>
      <w:hyperlink r:id="rId11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content can be managed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3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5" w:lineRule="auto"/>
        <w:contextualSpacing w:val="0"/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This role’s responsibilities included: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Write and edit clear and consistent content across </w:t>
      </w:r>
      <w:hyperlink r:id="rId12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earned, owned, paid, and social media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for a variety of digital tactics, including emails, landing pages, websites, microsites, social networks, mobile, banners, paid search, lead nurturing programs, etc.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Assure quality of all content deliverables and use of a </w:t>
      </w:r>
      <w:hyperlink r:id="rId13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consistent voice and tone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throughout all digital channels and assets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Collaborate closely with the marketing department in the development of content strategies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Manage daily content and </w:t>
      </w:r>
      <w:hyperlink r:id="rId14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content calendars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for social channels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90" w:lineRule="auto"/>
        <w:ind w:left="1020" w:hanging="360"/>
        <w:contextualSpacing w:val="1"/>
        <w:rPr>
          <w:color w:val="1d1d1d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Apply </w:t>
      </w:r>
      <w:hyperlink r:id="rId15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SEO best practices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in the development of website content to create sites that feature strong keyword usage and are highly relevant to potential search queries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90" w:lineRule="auto"/>
        <w:ind w:left="1020" w:hanging="360"/>
        <w:contextualSpacing w:val="1"/>
        <w:rPr>
          <w:color w:val="1d1d1d"/>
        </w:rPr>
      </w:pPr>
      <w:hyperlink r:id="rId16">
        <w:r w:rsidDel="00000000" w:rsidR="00000000" w:rsidRPr="00000000">
          <w:rPr>
            <w:color w:val="f7931e"/>
            <w:sz w:val="24"/>
            <w:szCs w:val="24"/>
            <w:highlight w:val="white"/>
            <w:rtl w:val="0"/>
          </w:rPr>
          <w:t xml:space="preserve">Write</w:t>
        </w:r>
      </w:hyperlink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dynamic web and ad copy – the stuff that converts like gold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90" w:lineRule="auto"/>
        <w:ind w:left="10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ntentmarketinginstitute.com/2013/03/expert-tips-managing-content-marketing-process-video/" TargetMode="External"/><Relationship Id="rId10" Type="http://schemas.openxmlformats.org/officeDocument/2006/relationships/hyperlink" Target="http://contentmarketinginstitute.com/2014/10/how-to-create-cross-functional-team-synergy-for-content-marketing/" TargetMode="External"/><Relationship Id="rId13" Type="http://schemas.openxmlformats.org/officeDocument/2006/relationships/hyperlink" Target="http://contentmarketinginstitute.com/2015/03/consistent-brand-voice/" TargetMode="External"/><Relationship Id="rId12" Type="http://schemas.openxmlformats.org/officeDocument/2006/relationships/hyperlink" Target="http://contentmarketinginstitute.com/2014/10/paid-advertising-b2b-content-marketers-share-insight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ontentmarketinginstitute.com/2014/01/marketing-automation-maximize-content-roi/" TargetMode="External"/><Relationship Id="rId15" Type="http://schemas.openxmlformats.org/officeDocument/2006/relationships/hyperlink" Target="http://contentmarketinginstitute.com/2014/11/seo-checklist-15-steps-optimize-content-marketing-plan/" TargetMode="External"/><Relationship Id="rId14" Type="http://schemas.openxmlformats.org/officeDocument/2006/relationships/hyperlink" Target="http://contentmarketinginstitute.com/2014/11/content-marketers-checklist-editorial-calendar-essentials/" TargetMode="External"/><Relationship Id="rId16" Type="http://schemas.openxmlformats.org/officeDocument/2006/relationships/hyperlink" Target="http://contentmarketinginstitute.com/2015/05/write-pro-content-niche/" TargetMode="External"/><Relationship Id="rId5" Type="http://schemas.openxmlformats.org/officeDocument/2006/relationships/hyperlink" Target="http://contentmarketinginstitute.com/2015/03/hiring-journalist-content-marketing/" TargetMode="External"/><Relationship Id="rId6" Type="http://schemas.openxmlformats.org/officeDocument/2006/relationships/hyperlink" Target="http://contentmarketinginstitute.com/2014/12/analysis-social-media-content-trends/" TargetMode="External"/><Relationship Id="rId7" Type="http://schemas.openxmlformats.org/officeDocument/2006/relationships/hyperlink" Target="http://contentmarketinginstitute.com/2013/12/b2b-content-marketing-beyond-random-acts-publishing/" TargetMode="External"/><Relationship Id="rId8" Type="http://schemas.openxmlformats.org/officeDocument/2006/relationships/hyperlink" Target="http://contentmarketinginstitute.com/2015/04/seo-content-tools-tips/" TargetMode="External"/></Relationships>
</file>