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Fonts w:ascii="Montserrat" w:cs="Montserrat" w:eastAsia="Montserrat" w:hAnsi="Montserrat"/>
          <w:color w:val="f63e72"/>
          <w:sz w:val="24"/>
          <w:szCs w:val="24"/>
          <w:rtl w:val="0"/>
        </w:rPr>
        <w:t xml:space="preserve">Professionals 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rtl w:val="0"/>
        </w:rPr>
        <w:t xml:space="preserve">For the success of the hackathon it is important to establish a strong connection between participants and those that will be responsible for implementing or developing the ideas further: the representatives in the different government divisions. 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rtl w:val="0"/>
        </w:rPr>
        <w:t xml:space="preserve">Toronto Transportation Services, Ontario Ministry of Transportation Services, etc.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Montserrat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right"/>
      <w:pPr>
        <w:ind w:left="720" w:firstLine="36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Montserrat" w:cs="Montserrat" w:eastAsia="Montserrat" w:hAnsi="Montserrat"/>
        <w:b w:val="0"/>
        <w:i w:val="0"/>
        <w:smallCaps w:val="0"/>
        <w:strike w:val="0"/>
        <w:color w:val="434343"/>
        <w:sz w:val="36"/>
        <w:szCs w:val="36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/Relationships>
</file>