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Since this has to be kept low budget, I say we only do Twitter and setup a forum for people to discuss.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Email marketing would also fall on this slide (newsletter to participants): When and how many? With what kind of content?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suggest 2 slides. 1 covering Social Media, Twitter and Facebook. 1 slide covering Discussion Forum and Email marketing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Communication Goals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Recruit participants and communicate important hackathon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Enhance branding of SCMA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Raise awareness of SCMA hackathon brand and promote the innovative apps that are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Communication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Competition Information and Updates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Source for up-to-date information on the competition including schedule, deadlines, rules and competition updates etc.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Valuable Resources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Share valuable information and resources with participants to help them create the best apps possible. This includes useful tips, tools, industry news, helpful articles &amp; blogs, frameworks,  and resources for participants to utilize in their projects.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Compelling Story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ell an engaging and compelling SCMA hackathon story.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Communication Platforms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Twitter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communicate important competition information, share valuable resources and answer questions and engage with participants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Facebook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Tell a compelling hackathon story through images and photo albums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Email Communication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Communicate important competition information to registered participants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Recruit new participants from our already existing list of hackathon attendees.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Forum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forum will be set up for participants to communicate and coordinate with one another before, during and after the event.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Heres participants can form teams, post questions and build a community surrounding the hackathon.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Montserrat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right"/>
      <w:pPr>
        <w:ind w:left="720" w:firstLine="36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right"/>
      <w:pPr>
        <w:ind w:left="720" w:firstLine="36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/Relationships>
</file>