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WHat is the GCA</w:t>
      </w:r>
    </w:p>
    <w:p w:rsidR="00000000" w:rsidDel="00000000" w:rsidP="00000000" w:rsidRDefault="00000000" w:rsidRPr="00000000">
      <w:pPr>
        <w:contextualSpacing w:val="0"/>
      </w:pPr>
      <w:r w:rsidDel="00000000" w:rsidR="00000000" w:rsidRPr="00000000">
        <w:rPr>
          <w:rtl w:val="0"/>
        </w:rPr>
        <w:t xml:space="preserve">WHy is the GCA awesome</w:t>
      </w:r>
    </w:p>
    <w:p w:rsidR="00000000" w:rsidDel="00000000" w:rsidP="00000000" w:rsidRDefault="00000000" w:rsidRPr="00000000">
      <w:pPr>
        <w:contextualSpacing w:val="0"/>
      </w:pPr>
      <w:r w:rsidDel="00000000" w:rsidR="00000000" w:rsidRPr="00000000">
        <w:rPr>
          <w:rtl w:val="0"/>
        </w:rPr>
        <w:t xml:space="preserve">What are the past GCA results</w:t>
      </w:r>
    </w:p>
    <w:p w:rsidR="00000000" w:rsidDel="00000000" w:rsidP="00000000" w:rsidRDefault="00000000" w:rsidRPr="00000000">
      <w:pPr>
        <w:contextualSpacing w:val="0"/>
      </w:pPr>
      <w:r w:rsidDel="00000000" w:rsidR="00000000" w:rsidRPr="00000000">
        <w:rPr>
          <w:rtl w:val="0"/>
        </w:rPr>
        <w:t xml:space="preserve">What value can the GCA offer the sponsor</w:t>
      </w:r>
    </w:p>
    <w:p w:rsidR="00000000" w:rsidDel="00000000" w:rsidP="00000000" w:rsidRDefault="00000000" w:rsidRPr="00000000">
      <w:pPr>
        <w:contextualSpacing w:val="0"/>
      </w:pPr>
      <w:r w:rsidDel="00000000" w:rsidR="00000000" w:rsidRPr="00000000">
        <w:rPr>
          <w:rtl w:val="0"/>
        </w:rPr>
        <w:t xml:space="preserve">What will we do for the sponsor ( how we will customize the GCA for the sponsor)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Overview</w:t>
      </w:r>
    </w:p>
    <w:p w:rsidR="00000000" w:rsidDel="00000000" w:rsidP="00000000" w:rsidRDefault="00000000" w:rsidRPr="00000000">
      <w:pPr>
        <w:contextualSpacing w:val="0"/>
      </w:pPr>
      <w:r w:rsidDel="00000000" w:rsidR="00000000" w:rsidRPr="00000000">
        <w:rPr>
          <w:rtl w:val="0"/>
        </w:rPr>
        <w:t xml:space="preserve">Where: Nationwide, taking place at UNiversity and College campuses</w:t>
      </w:r>
    </w:p>
    <w:p w:rsidR="00000000" w:rsidDel="00000000" w:rsidP="00000000" w:rsidRDefault="00000000" w:rsidRPr="00000000">
      <w:pPr>
        <w:contextualSpacing w:val="0"/>
      </w:pPr>
      <w:r w:rsidDel="00000000" w:rsidR="00000000" w:rsidRPr="00000000">
        <w:rPr>
          <w:rtl w:val="0"/>
        </w:rPr>
        <w:t xml:space="preserve">What is the point:</w:t>
      </w:r>
    </w:p>
    <w:p w:rsidR="00000000" w:rsidDel="00000000" w:rsidP="00000000" w:rsidRDefault="00000000" w:rsidRPr="00000000">
      <w:pPr>
        <w:contextualSpacing w:val="0"/>
      </w:pPr>
      <w:r w:rsidDel="00000000" w:rsidR="00000000" w:rsidRPr="00000000">
        <w:rPr>
          <w:rtl w:val="0"/>
        </w:rPr>
        <w:t xml:space="preserve">why would people participate: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does the sponsors investment get them closer to their customers and achieve their specific 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Who are our 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are young university and college students with a high level of technical skills, but are lacking the experience to work in a professional video game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Age: 17-30</w:t>
      </w:r>
    </w:p>
    <w:p w:rsidR="00000000" w:rsidDel="00000000" w:rsidP="00000000" w:rsidRDefault="00000000" w:rsidRPr="00000000">
      <w:pPr>
        <w:contextualSpacing w:val="0"/>
      </w:pPr>
      <w:r w:rsidDel="00000000" w:rsidR="00000000" w:rsidRPr="00000000">
        <w:rPr>
          <w:rtl w:val="0"/>
        </w:rPr>
        <w:t xml:space="preserve">location:</w:t>
      </w:r>
    </w:p>
    <w:p w:rsidR="00000000" w:rsidDel="00000000" w:rsidP="00000000" w:rsidRDefault="00000000" w:rsidRPr="00000000">
      <w:pPr>
        <w:contextualSpacing w:val="0"/>
      </w:pPr>
      <w:r w:rsidDel="00000000" w:rsidR="00000000" w:rsidRPr="00000000">
        <w:rPr>
          <w:rtl w:val="0"/>
        </w:rPr>
        <w:t xml:space="preserve">income level:</w:t>
      </w:r>
    </w:p>
    <w:p w:rsidR="00000000" w:rsidDel="00000000" w:rsidP="00000000" w:rsidRDefault="00000000" w:rsidRPr="00000000">
      <w:pPr>
        <w:contextualSpacing w:val="0"/>
      </w:pPr>
      <w:r w:rsidDel="00000000" w:rsidR="00000000" w:rsidRPr="00000000">
        <w:rPr>
          <w:rtl w:val="0"/>
        </w:rPr>
        <w:t xml:space="preserve">Interests: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value can we offer sponsors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put them directly in front of the 18-25 year old university and college student demographic.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game built around their brand, or a game with their brands elements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Allowing them to tap into a new community (game devleopers) and/or to expand and stregthen their exisitng community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Significant editorial coverage in Canada (previous coverage includes EP Daily features,</w:t>
      </w:r>
    </w:p>
    <w:p w:rsidR="00000000" w:rsidDel="00000000" w:rsidP="00000000" w:rsidRDefault="00000000" w:rsidRPr="00000000">
      <w:pPr>
        <w:contextualSpacing w:val="0"/>
      </w:pPr>
      <w:r w:rsidDel="00000000" w:rsidR="00000000" w:rsidRPr="00000000">
        <w:rPr>
          <w:rtl w:val="0"/>
        </w:rPr>
        <w:t xml:space="preserve">articles in Globe and Mail, campus newspapers</w:t>
      </w:r>
    </w:p>
    <w:p w:rsidR="00000000" w:rsidDel="00000000" w:rsidP="00000000" w:rsidRDefault="00000000" w:rsidRPr="00000000">
      <w:pPr>
        <w:contextualSpacing w:val="0"/>
      </w:pPr>
      <w:r w:rsidDel="00000000" w:rsidR="00000000" w:rsidRPr="00000000">
        <w:rPr>
          <w:rtl w:val="0"/>
        </w:rPr>
        <w:t xml:space="preserve">and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 to 750+ game makers for recruitment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 to 40+ campuses for experiential</w:t>
      </w:r>
    </w:p>
    <w:p w:rsidR="00000000" w:rsidDel="00000000" w:rsidP="00000000" w:rsidRDefault="00000000" w:rsidRPr="00000000">
      <w:pPr>
        <w:contextualSpacing w:val="0"/>
      </w:pPr>
      <w:r w:rsidDel="00000000" w:rsidR="00000000" w:rsidRPr="00000000">
        <w:rPr>
          <w:rtl w:val="0"/>
        </w:rPr>
        <w:t xml:space="preserve">marketing, sampling, promotions and more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Extensive advertising and promotion via our media partnerships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we offer sponsors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Platinum Level</w:t>
      </w:r>
    </w:p>
    <w:p w:rsidR="00000000" w:rsidDel="00000000" w:rsidP="00000000" w:rsidRDefault="00000000" w:rsidRPr="00000000">
      <w:pPr>
        <w:contextualSpacing w:val="0"/>
      </w:pPr>
      <w:r w:rsidDel="00000000" w:rsidR="00000000" w:rsidRPr="00000000">
        <w:rPr>
          <w:rtl w:val="0"/>
        </w:rPr>
        <w:t xml:space="preserve">Branding/naming rights over</w:t>
        <w:tab/>
        <w:t xml:space="preserve">GCA5</w:t>
        <w:tab/>
        <w:tab/>
      </w:r>
    </w:p>
    <w:p w:rsidR="00000000" w:rsidDel="00000000" w:rsidP="00000000" w:rsidRDefault="00000000" w:rsidRPr="00000000">
      <w:pPr>
        <w:contextualSpacing w:val="0"/>
      </w:pPr>
      <w:r w:rsidDel="00000000" w:rsidR="00000000" w:rsidRPr="00000000">
        <w:rPr>
          <w:rtl w:val="0"/>
        </w:rPr>
        <w:t xml:space="preserve">(e.g.Your Co presents: the Great Canadian Appathon 5)</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Advisory role in creative execution of</w:t>
        <w:tab/>
        <w:t xml:space="preserve"> GCA5</w:t>
        <w:tab/>
      </w:r>
    </w:p>
    <w:p w:rsidR="00000000" w:rsidDel="00000000" w:rsidP="00000000" w:rsidRDefault="00000000" w:rsidRPr="00000000">
      <w:pPr>
        <w:contextualSpacing w:val="0"/>
      </w:pPr>
      <w:r w:rsidDel="00000000" w:rsidR="00000000" w:rsidRPr="00000000">
        <w:rPr>
          <w:rtl w:val="0"/>
        </w:rPr>
        <w:t xml:space="preserve">(think “light touch, high impact”)</w:t>
      </w: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Gold Level Sponsor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Primary recruitng access to all GCA participants</w:t>
        <w:tab/>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Grand</w:t>
        <w:tab/>
        <w:t xml:space="preserve">prize presented by our Gold Sponsor</w:t>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Receive 1 spot on the GCA</w:t>
        <w:tab/>
        <w:t xml:space="preserve">judging panel</w:t>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custom news release will</w:t>
        <w:tab/>
        <w:t xml:space="preserve">be written about the</w:t>
        <w:tab/>
        <w:t xml:space="preserve">Gold Sponsors role in making the</w:t>
        <w:tab/>
        <w:t xml:space="preserve">GCA</w:t>
        <w:tab/>
        <w:t xml:space="preserve">possible.</w:t>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Quotes from Gold Sponsor can be included in news release</w:t>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Gold Sponsor products or services will be integrated into the GCA</w:t>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Gold Sponsor’s logo will be on all GCA media releases</w:t>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Gold Sponsor’s logo will be on all GCA signs, banners and printed materials and GCA swag (t-shirts, bags, hats and more)</w:t>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Gold Sponsor’s logo on all of the official GCA swag</w:t>
        <w:tab/>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placement in GCA swag bags</w:t>
        <w:tab/>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Gold Sponsor brand integration into GCA social media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GCA Experience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 expect nothing less than the students to emerge from the GCA learning more about commercial software development than any other experience in their student careers." Bill Marshall, Founder and Chair Emeritus of the Toronto International Film Festival and a member of the GCA3 judging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”It’s great to see the young Canadian talent we have… the innovation, thinking outside the box… for me, this is a real passion." The Hon. Tony Clement, President of Treasury Board of Canada and a member of the GCA4 judging panel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Bronze Level Sponsorship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Sponsor recogntion on GCA</w:t>
        <w:tab/>
        <w:t xml:space="preserve">HUB signage</w:t>
        <w:tab/>
        <w:t xml:space="preserve">and</w:t>
        <w:tab/>
        <w:t xml:space="preserve">all</w:t>
        <w:tab/>
        <w:t xml:space="preserve">GCA</w:t>
        <w:tab/>
      </w:r>
    </w:p>
    <w:p w:rsidR="00000000" w:rsidDel="00000000" w:rsidP="00000000" w:rsidRDefault="00000000" w:rsidRPr="00000000">
      <w:pPr>
        <w:contextualSpacing w:val="0"/>
      </w:pPr>
      <w:r w:rsidDel="00000000" w:rsidR="00000000" w:rsidRPr="00000000">
        <w:rPr>
          <w:rtl w:val="0"/>
        </w:rPr>
        <w:t xml:space="preserve">adver&lt;sing</w:t>
        <w:tab/>
        <w:t xml:space="preserve">and</w:t>
        <w:tab/>
        <w:t xml:space="preserve">promo&lt;onal</w:t>
        <w:tab/>
        <w:t xml:space="preserve">material</w:t>
        <w:tab/>
      </w:r>
    </w:p>
    <w:p w:rsidR="00000000" w:rsidDel="00000000" w:rsidP="00000000" w:rsidRDefault="00000000" w:rsidRPr="00000000">
      <w:pPr>
        <w:contextualSpacing w:val="0"/>
      </w:pPr>
      <w:r w:rsidDel="00000000" w:rsidR="00000000" w:rsidRPr="00000000">
        <w:rPr>
          <w:rtl w:val="0"/>
        </w:rPr>
        <w:t xml:space="preserve">Sponsor</w:t>
        <w:tab/>
        <w:t xml:space="preserve">recogni&lt;on</w:t>
        <w:tab/>
        <w:t xml:space="preserve">on</w:t>
        <w:tab/>
        <w:t xml:space="preserve">the</w:t>
        <w:tab/>
        <w:t xml:space="preserve">GCA</w:t>
        <w:tab/>
        <w:t xml:space="preserve">webpage</w:t>
        <w:tab/>
        <w:t xml:space="preserve">and</w:t>
        <w:tab/>
        <w:t xml:space="preserve">link</w:t>
        <w:tab/>
        <w:t xml:space="preserve">to</w:t>
        <w:tab/>
      </w:r>
    </w:p>
    <w:p w:rsidR="00000000" w:rsidDel="00000000" w:rsidP="00000000" w:rsidRDefault="00000000" w:rsidRPr="00000000">
      <w:pPr>
        <w:contextualSpacing w:val="0"/>
      </w:pPr>
      <w:r w:rsidDel="00000000" w:rsidR="00000000" w:rsidRPr="00000000">
        <w:rPr>
          <w:rtl w:val="0"/>
        </w:rPr>
        <w:t xml:space="preserve">sponsor’s</w:t>
        <w:tab/>
        <w:t xml:space="preserve">website</w:t>
        <w:tab/>
        <w:tab/>
      </w:r>
    </w:p>
    <w:p w:rsidR="00000000" w:rsidDel="00000000" w:rsidP="00000000" w:rsidRDefault="00000000" w:rsidRPr="00000000">
      <w:pPr>
        <w:contextualSpacing w:val="0"/>
      </w:pPr>
      <w:r w:rsidDel="00000000" w:rsidR="00000000" w:rsidRPr="00000000">
        <w:rPr>
          <w:rtl w:val="0"/>
        </w:rPr>
        <w:t xml:space="preserve">Opportunity</w:t>
        <w:tab/>
        <w:t xml:space="preserve">to</w:t>
        <w:tab/>
        <w:t xml:space="preserve">provide</w:t>
        <w:tab/>
        <w:t xml:space="preserve">marke&lt;ng</w:t>
        <w:tab/>
        <w:t xml:space="preserve">materials</w:t>
        <w:tab/>
        <w:t xml:space="preserve">and</w:t>
        <w:tab/>
      </w:r>
    </w:p>
    <w:p w:rsidR="00000000" w:rsidDel="00000000" w:rsidP="00000000" w:rsidRDefault="00000000" w:rsidRPr="00000000">
      <w:pPr>
        <w:contextualSpacing w:val="0"/>
      </w:pPr>
      <w:r w:rsidDel="00000000" w:rsidR="00000000" w:rsidRPr="00000000">
        <w:rPr>
          <w:rtl w:val="0"/>
        </w:rPr>
        <w:t xml:space="preserve">giveaways</w:t>
        <w:tab/>
        <w:t xml:space="preserve">in</w:t>
        <w:tab/>
        <w:t xml:space="preserve">par&lt;cipant</w:t>
        <w:tab/>
        <w:t xml:space="preserve">swag</w:t>
        <w:tab/>
        <w:t xml:space="preserve">bags</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GCA4 had a combined media reach of 7,699,371 impressions Media that covered the GCA previously: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