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Sponsors want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Branding on your website, shirts, and other promotional materials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2-3 minute slot during opening ceremonies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A table at your event in a visible location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30 - minute breakout/tech talk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1 minute at closing ceremonies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The option to have a table and send a judge to your event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Our founder Evan to speak/mentor at your event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Our table must be in a visible location and we must have a speaking slot at opening/closing ceremonies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Negotiate access to your resume database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Our staff will work with you to throw the hackathon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Our staff will be on hand to give tours and show visitors the space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send a judge to your event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If we award a prize: Our staff will announce the winner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Announce our participation at the beginning and end to all hackers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1-2 min speaking slot at opening ceremonies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Shoutout at closing ceremonies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Access to your resume database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Our logo on your website and t-shirts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Our table in a visible location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If we award a prize: Our team will announce the winner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Negotiate access to your resume database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Access to our developer network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One of our staff will participate in opening and closing ceremonies to explain our mission and course offers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The option to send one of our developer evangelists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495d71"/>
          <w:highlight w:val="white"/>
          <w:rtl w:val="0"/>
        </w:rPr>
        <w:t xml:space="preserve">To sponsor, we require access to your contact database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