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Build software tools for hosting business competitions, namely, software and hardware development competitions.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Organizing and conducting business competitions, namely, software and hardware development competitions; Business assistance, business advisory, and business consulting services provided to third parties engaged in the development of software and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Arranging and organization of competitions for the development and creation of computer application software, mobile applications software, computer game software, video game software, video game program and electronic game software for all electronic platforms </w:t>
      </w:r>
      <w:r w:rsidDel="00000000" w:rsidR="00000000" w:rsidRPr="00000000">
        <w:rPr>
          <w:highlight w:val="yellow"/>
          <w:rtl w:val="0"/>
        </w:rPr>
        <w:t xml:space="preserve">namely </w:t>
      </w:r>
      <w:r w:rsidDel="00000000" w:rsidR="00000000" w:rsidRPr="00000000">
        <w:rPr>
          <w:rtl w:val="0"/>
        </w:rPr>
        <w:t xml:space="preserve">mobile devices, tablet computers, game consoles, handheld devices, portable computers, and personal computers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