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Hackworks imagines, organizes &amp; executes inspiring hackathon events that harness the power of the crowd to drive new innovative solutions &amp; excite entrepreneurship. Our past national hackathon events include the Great Canadian Appathon and The Canadian Open Data Experience.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Looking to plan a hackathon? Reach out to learn more at </w:t>
      </w:r>
      <w:hyperlink r:id="rId5">
        <w:r w:rsidDel="00000000" w:rsidR="00000000" w:rsidRPr="00000000">
          <w:rPr>
            <w:color w:val="1155cc"/>
            <w:u w:val="single"/>
            <w:rtl w:val="0"/>
          </w:rPr>
          <w:t xml:space="preserve">andrew@hackworks.com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believe in the power of the crowd to drive innovative solutions. We imagine and produce events where perspectives, inspiration and ideas are shared and more resonant solutions are found than any of us could create on our 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bring together brilliant minds in collaboration and competition to find innovative solutions to important business, social, policy, scientific and technical challenges.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supply the tools needed for our clients to revolutionize their economics of innovation through rapid solution delivery from a specialist crowd, sourced to accelerate their innovation cycle.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andrew@hackworks.com" TargetMode="External"/></Relationships>
</file>