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Tristan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HUB Research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the best schools  to Onboard as HUBS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rtl w:val="0"/>
        </w:rPr>
        <w:t xml:space="preserve">Target Completion Date: Friday July 24th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Target Universities and Colleges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20-30 schools.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**Look for schools with big computer science/engineering programs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for schools with high amounts of students that be interested in hackathons and video games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schools who host lots of hackathons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for schools that have participated in previous GCA’s and have had large participant numbers at  their HUBS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look for universities that offer game development/design classes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Target Game schools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10 - 15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for schools that offer game development/design specific programs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mostly colleges offer the game development programs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schools also offer game development programs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Target Art Schools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7-10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art specific schools like OCAD or schools with really good digital art programs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schools will have strong digital artists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Game Studio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rtl w:val="0"/>
        </w:rPr>
        <w:t xml:space="preserve">Target Completion Date:  Wednesday July 28th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and find game studios we can reach out to partner with for the GCA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this research on studios based in cities where our best HUBS will be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Ex. Toronto, Ottawa, Waterloo, Oshawa, Vancouver, Montreal etc.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for game studios that have sponsored events in the past or if they have sponsored game hackathons in the past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Sponsorship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rtl w:val="0"/>
        </w:rPr>
        <w:t xml:space="preserve">Target Completion Date:  Friday July 31st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researching potential sponsors for the GCA event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with GCA past sponsors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companies that have sponsored other similar hackathons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for sponsors that would be interested in: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games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**getting in touch with the college/university student demographic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about why the company would want to sponsor the GCA and what value the GCA can offer the sponsor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