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color w:val="1f497d"/>
          <w:highlight w:val="white"/>
          <w:rtl w:val="0"/>
        </w:rPr>
        <w:t xml:space="preserve">INRIX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Please send the following link to participants:</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hyperlink r:id="rId5">
        <w:r w:rsidDel="00000000" w:rsidR="00000000" w:rsidRPr="00000000">
          <w:rPr>
            <w:rFonts w:ascii="Calibri" w:cs="Calibri" w:eastAsia="Calibri" w:hAnsi="Calibri"/>
            <w:color w:val="1155cc"/>
            <w:highlight w:val="white"/>
            <w:u w:val="single"/>
            <w:rtl w:val="0"/>
          </w:rPr>
          <w:t xml:space="preserve">http://www.i95coalition.org/wp-content/uploads/2015/02/I-95-VPP-II-INRIX-Inteface-Guide-v1-Dec-2014.pdf</w:t>
        </w:r>
      </w:hyperlink>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This is a good general overview of utilizing the INRIX API (how to use, get tokens ,etc.)  as well as some background on TMC’s and the INRIX XD’s.  Beyond that, as long as the users can get in to the INRIX Devzone with the login credentials I have provided you on an earlier email I think this should be a good starting point.  Let me know how it goes, and if I can further assist. Thank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Access to the Demo/Devzone  username= </w:t>
      </w:r>
      <w:r w:rsidDel="00000000" w:rsidR="00000000" w:rsidRPr="00000000">
        <w:rPr>
          <w:rFonts w:ascii="Calibri" w:cs="Calibri" w:eastAsia="Calibri" w:hAnsi="Calibri"/>
          <w:color w:val="1155cc"/>
          <w:highlight w:val="white"/>
          <w:rtl w:val="0"/>
        </w:rPr>
        <w:t xml:space="preserve">hackworks@inrix.com</w:t>
      </w:r>
      <w:r w:rsidDel="00000000" w:rsidR="00000000" w:rsidRPr="00000000">
        <w:rPr>
          <w:rFonts w:ascii="Calibri" w:cs="Calibri" w:eastAsia="Calibri" w:hAnsi="Calibri"/>
          <w:color w:val="222222"/>
          <w:highlight w:val="white"/>
          <w:rtl w:val="0"/>
        </w:rPr>
        <w:t xml:space="preserve">   password= INRIX!</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pPr>
        <w:contextualSpacing w:val="0"/>
      </w:pPr>
      <w:hyperlink r:id="rId6">
        <w:r w:rsidDel="00000000" w:rsidR="00000000" w:rsidRPr="00000000">
          <w:rPr>
            <w:rFonts w:ascii="Calibri" w:cs="Calibri" w:eastAsia="Calibri" w:hAnsi="Calibri"/>
            <w:color w:val="1155cc"/>
            <w:highlight w:val="white"/>
            <w:u w:val="single"/>
            <w:rtl w:val="0"/>
          </w:rPr>
          <w:t xml:space="preserve">http://demo.inrix.com/Demo/Default.aspx</w:t>
        </w:r>
      </w:hyperlink>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Here are your credentials to access the INRIX API. Your INRIX API credentials:</w:t>
      </w:r>
    </w:p>
    <w:p w:rsidR="00000000" w:rsidDel="00000000" w:rsidP="00000000" w:rsidRDefault="00000000" w:rsidRPr="00000000">
      <w:pPr>
        <w:contextualSpacing w:val="0"/>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222222"/>
          <w:highlight w:val="white"/>
          <w:rtl w:val="0"/>
        </w:rPr>
        <w:t xml:space="preserve">VendorID= 1365811799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https://mail.google.com/mail/u/0/#inbox/14ff6ae94518ce1a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95coalition.org/wp-content/uploads/2015/02/I-95-VPP-II-INRIX-Inteface-Guide-v1-Dec-2014.pdf" TargetMode="External"/><Relationship Id="rId6" Type="http://schemas.openxmlformats.org/officeDocument/2006/relationships/hyperlink" Target="http://demo.inrix.com/Demo/Default.aspx" TargetMode="External"/></Relationships>
</file>