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8"/>
          <w:szCs w:val="28"/>
        </w:rPr>
        <w:t>1️⃣ Diagrama de Caso de Uso (Visão geral do sistema)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Mostra o que o sistema faz e quem interage com ele.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👥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Freelancer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(cadastra e gerencia seus produtos)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Visitante/Cliente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(visualiza produtos e entra em contato)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Administrador (opcional)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⚙️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Casos de uso principais: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Cadastrar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Editar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Excluir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Visualizar catálogo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Ver detalhes do produto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Enviar mensagem de contato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76600"/>
            <wp:docPr id="0" name="Drawing 0" descr="809bcd98fefee2a33b08810aa52bf81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09bcd98fefee2a33b08810aa52bf8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Open Sans Bold">
    <w:panose1 w:val="00000000000000000000"/>
    <w:charset w:characterSet="1"/>
    <w:embedBold r:id="rId5"/>
  </w:font>
  <w:font w:name="Open Sans">
    <w:panose1 w:val="00000000000000000000"/>
    <w:charset w:characterSet="1"/>
    <w:embedRegular r:id="rId6"/>
  </w:font>
  <w:font w:name="Open Sans">
    <w:panose1 w:val="020B0606030504020204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2025-11-07T19:22:27Z</dcterms:created>
  <dc:creator>Apache POI</dc:creator>
</cp:coreProperties>
</file>