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43AB4" w14:textId="77777777" w:rsidR="00E033E4" w:rsidRPr="00856EA3" w:rsidRDefault="00000000" w:rsidP="00293D0A">
      <w:pPr>
        <w:spacing w:after="0"/>
        <w:jc w:val="center"/>
        <w:rPr>
          <w:rFonts w:asciiTheme="majorHAnsi" w:hAnsiTheme="majorHAnsi" w:cstheme="majorHAnsi"/>
        </w:rPr>
      </w:pPr>
      <w:r w:rsidRPr="00856EA3">
        <w:rPr>
          <w:rFonts w:asciiTheme="majorHAnsi" w:hAnsiTheme="majorHAnsi" w:cstheme="majorHAnsi"/>
          <w:b/>
          <w:sz w:val="32"/>
        </w:rPr>
        <w:t>POTOMAC FUND MANAGEMENT</w:t>
      </w:r>
    </w:p>
    <w:p w14:paraId="2E6CF7AA" w14:textId="5CD83E67" w:rsidR="00E033E4" w:rsidRPr="00856EA3" w:rsidRDefault="00000000" w:rsidP="00293D0A">
      <w:pPr>
        <w:spacing w:after="0"/>
        <w:jc w:val="center"/>
        <w:rPr>
          <w:rFonts w:asciiTheme="majorHAnsi" w:hAnsiTheme="majorHAnsi" w:cstheme="majorHAnsi"/>
        </w:rPr>
      </w:pPr>
      <w:r w:rsidRPr="00856EA3">
        <w:rPr>
          <w:rFonts w:asciiTheme="majorHAnsi" w:hAnsiTheme="majorHAnsi" w:cstheme="majorHAnsi"/>
          <w:b/>
          <w:sz w:val="26"/>
        </w:rPr>
        <w:t>Trade Concepts for Testing</w:t>
      </w:r>
    </w:p>
    <w:p w14:paraId="2565FA4B" w14:textId="77777777" w:rsidR="00E033E4" w:rsidRPr="00856EA3" w:rsidRDefault="00000000" w:rsidP="00293D0A">
      <w:pPr>
        <w:spacing w:after="0"/>
        <w:jc w:val="center"/>
        <w:rPr>
          <w:rFonts w:asciiTheme="majorHAnsi" w:hAnsiTheme="majorHAnsi" w:cstheme="majorHAnsi"/>
          <w:szCs w:val="20"/>
        </w:rPr>
      </w:pPr>
      <w:r w:rsidRPr="00856EA3">
        <w:rPr>
          <w:rFonts w:asciiTheme="majorHAnsi" w:hAnsiTheme="majorHAnsi" w:cstheme="majorHAnsi"/>
          <w:szCs w:val="20"/>
        </w:rPr>
        <w:t>February 2026</w:t>
      </w:r>
    </w:p>
    <w:p w14:paraId="543FD84D" w14:textId="77777777" w:rsidR="00E033E4" w:rsidRPr="00856EA3" w:rsidRDefault="00000000" w:rsidP="00293D0A">
      <w:pPr>
        <w:spacing w:after="40"/>
        <w:jc w:val="center"/>
        <w:rPr>
          <w:rFonts w:asciiTheme="majorHAnsi" w:hAnsiTheme="majorHAnsi" w:cstheme="majorHAnsi"/>
          <w:szCs w:val="20"/>
        </w:rPr>
      </w:pPr>
      <w:r w:rsidRPr="00856EA3">
        <w:rPr>
          <w:rFonts w:asciiTheme="majorHAnsi" w:hAnsiTheme="majorHAnsi" w:cstheme="majorHAnsi"/>
          <w:szCs w:val="20"/>
        </w:rPr>
        <w:t>Woody Wiegmann</w:t>
      </w:r>
    </w:p>
    <w:p w14:paraId="0F3559E9" w14:textId="77777777" w:rsidR="00F63D2F" w:rsidRPr="00856EA3" w:rsidRDefault="00F63D2F" w:rsidP="00F63D2F">
      <w:pPr>
        <w:spacing w:after="40"/>
        <w:jc w:val="center"/>
        <w:rPr>
          <w:rFonts w:asciiTheme="majorHAnsi" w:hAnsiTheme="majorHAnsi" w:cstheme="majorHAnsi"/>
          <w:szCs w:val="20"/>
        </w:rPr>
      </w:pPr>
    </w:p>
    <w:p w14:paraId="6BB787B2" w14:textId="77777777" w:rsidR="008E2210" w:rsidRPr="00856EA3" w:rsidRDefault="008E2210" w:rsidP="00F63D2F">
      <w:pPr>
        <w:jc w:val="center"/>
        <w:rPr>
          <w:rFonts w:asciiTheme="majorHAnsi" w:hAnsiTheme="majorHAnsi" w:cstheme="majorHAnsi"/>
          <w:i/>
          <w:iCs/>
          <w:szCs w:val="20"/>
        </w:rPr>
      </w:pPr>
      <w:r w:rsidRPr="00856EA3">
        <w:rPr>
          <w:rFonts w:asciiTheme="majorHAnsi" w:hAnsiTheme="majorHAnsi" w:cstheme="majorHAnsi"/>
          <w:i/>
          <w:iCs/>
          <w:szCs w:val="20"/>
        </w:rPr>
        <w:t>All three ideas are instrument swaps and potential process improvements, not signal changes.</w:t>
      </w:r>
    </w:p>
    <w:p w14:paraId="3059DFA2" w14:textId="0CC6F3B9" w:rsidR="00E033E4" w:rsidRPr="00856EA3" w:rsidRDefault="008E2210" w:rsidP="00F63D2F">
      <w:pPr>
        <w:spacing w:after="120"/>
        <w:jc w:val="center"/>
        <w:rPr>
          <w:rFonts w:asciiTheme="majorHAnsi" w:hAnsiTheme="majorHAnsi" w:cstheme="majorHAnsi"/>
          <w:szCs w:val="20"/>
        </w:rPr>
      </w:pPr>
      <w:r w:rsidRPr="00856EA3">
        <w:rPr>
          <w:rFonts w:asciiTheme="majorHAnsi" w:hAnsiTheme="majorHAnsi" w:cstheme="majorHAnsi"/>
          <w:i/>
          <w:szCs w:val="20"/>
        </w:rPr>
        <w:t xml:space="preserve">I don't have full transparency into </w:t>
      </w:r>
      <w:r w:rsidRPr="00856EA3">
        <w:rPr>
          <w:rFonts w:asciiTheme="majorHAnsi" w:hAnsiTheme="majorHAnsi" w:cstheme="majorHAnsi"/>
          <w:i/>
          <w:szCs w:val="20"/>
        </w:rPr>
        <w:t>our</w:t>
      </w:r>
      <w:r w:rsidRPr="00856EA3">
        <w:rPr>
          <w:rFonts w:asciiTheme="majorHAnsi" w:hAnsiTheme="majorHAnsi" w:cstheme="majorHAnsi"/>
          <w:i/>
          <w:szCs w:val="20"/>
        </w:rPr>
        <w:t xml:space="preserve"> trading signals, so excuse any ideas that are stupid.</w:t>
      </w:r>
    </w:p>
    <w:p w14:paraId="17768B16" w14:textId="77777777" w:rsidR="001B7575" w:rsidRDefault="001B7575">
      <w:pPr>
        <w:spacing w:before="80"/>
        <w:rPr>
          <w:rFonts w:asciiTheme="majorHAnsi" w:hAnsiTheme="majorHAnsi" w:cstheme="majorHAnsi"/>
          <w:b/>
          <w:color w:val="1A3C5E"/>
          <w:sz w:val="22"/>
        </w:rPr>
      </w:pPr>
    </w:p>
    <w:p w14:paraId="2BE1CB9D" w14:textId="6B96E906" w:rsidR="00E033E4" w:rsidRPr="00856EA3" w:rsidRDefault="00000000">
      <w:pPr>
        <w:spacing w:before="80"/>
        <w:rPr>
          <w:rFonts w:asciiTheme="majorHAnsi" w:hAnsiTheme="majorHAnsi" w:cstheme="majorHAnsi"/>
        </w:rPr>
      </w:pPr>
      <w:r w:rsidRPr="00856EA3">
        <w:rPr>
          <w:rFonts w:asciiTheme="majorHAnsi" w:hAnsiTheme="majorHAnsi" w:cstheme="majorHAnsi"/>
          <w:b/>
          <w:sz w:val="22"/>
        </w:rPr>
        <w:t>IDEA 1 (CRTOX): Replace ARKK with QQQJ in CRTOX</w:t>
      </w:r>
    </w:p>
    <w:p w14:paraId="104D0102" w14:textId="77777777" w:rsidR="00E033E4" w:rsidRPr="00856EA3" w:rsidRDefault="00000000">
      <w:pPr>
        <w:spacing w:after="60"/>
        <w:rPr>
          <w:rFonts w:asciiTheme="majorHAnsi" w:hAnsiTheme="majorHAnsi" w:cstheme="majorHAnsi"/>
          <w:sz w:val="22"/>
          <w:szCs w:val="24"/>
        </w:rPr>
      </w:pPr>
      <w:r w:rsidRPr="00856EA3">
        <w:rPr>
          <w:rFonts w:asciiTheme="majorHAnsi" w:hAnsiTheme="majorHAnsi" w:cstheme="majorHAnsi"/>
          <w:szCs w:val="24"/>
        </w:rPr>
        <w:t>ARKK's discretionary management adds uncontrolled variance to CRTOX's signal-driven framework. QQQJ (Nasdaq Next Gen 100, passive, 0.15% ER) removes manager drift.</w:t>
      </w:r>
    </w:p>
    <w:p w14:paraId="752C7254" w14:textId="77777777" w:rsidR="00E033E4" w:rsidRPr="00856EA3" w:rsidRDefault="00000000">
      <w:pPr>
        <w:spacing w:after="60"/>
        <w:rPr>
          <w:rFonts w:asciiTheme="majorHAnsi" w:hAnsiTheme="majorHAnsi" w:cstheme="majorHAnsi"/>
          <w:sz w:val="22"/>
          <w:szCs w:val="24"/>
        </w:rPr>
      </w:pPr>
      <w:r w:rsidRPr="00856EA3">
        <w:rPr>
          <w:rFonts w:asciiTheme="majorHAnsi" w:hAnsiTheme="majorHAnsi" w:cstheme="majorHAnsi"/>
          <w:szCs w:val="24"/>
        </w:rPr>
        <w:t>2023–2025 on CRTOX's actual trade windows: ARKK avg –1.93%/trade vs QQQ +1.75%/trade = 3.68% per-trade swing from manager selection alone. QQQ won 8 of 13 trades.</w:t>
      </w:r>
    </w:p>
    <w:p w14:paraId="452B0118" w14:textId="77777777" w:rsidR="00E033E4" w:rsidRPr="00856EA3" w:rsidRDefault="00000000">
      <w:pPr>
        <w:spacing w:after="60"/>
        <w:rPr>
          <w:rFonts w:asciiTheme="majorHAnsi" w:hAnsiTheme="majorHAnsi" w:cstheme="majorHAnsi"/>
          <w:sz w:val="22"/>
          <w:szCs w:val="24"/>
        </w:rPr>
      </w:pPr>
      <w:r w:rsidRPr="00856EA3">
        <w:rPr>
          <w:rFonts w:asciiTheme="majorHAnsi" w:hAnsiTheme="majorHAnsi" w:cstheme="majorHAnsi"/>
          <w:szCs w:val="24"/>
        </w:rPr>
        <w:t>Cost savings: 60bp ER reduction (0.75% to 0.15%). Same signals, same entry/exit dates. No indicator changes required. Just a cleaner, cheaper, more predictable instrument.</w:t>
      </w:r>
    </w:p>
    <w:p w14:paraId="75D68F20" w14:textId="77777777" w:rsidR="001B7575" w:rsidRPr="00856EA3" w:rsidRDefault="001B7575">
      <w:pPr>
        <w:spacing w:before="160"/>
        <w:rPr>
          <w:rFonts w:asciiTheme="majorHAnsi" w:hAnsiTheme="majorHAnsi" w:cstheme="majorHAnsi"/>
          <w:b/>
          <w:sz w:val="22"/>
        </w:rPr>
      </w:pPr>
    </w:p>
    <w:p w14:paraId="1DD5C3DF" w14:textId="39C280DE" w:rsidR="00E033E4" w:rsidRPr="00856EA3" w:rsidRDefault="00000000">
      <w:pPr>
        <w:spacing w:before="160"/>
        <w:rPr>
          <w:rFonts w:asciiTheme="majorHAnsi" w:hAnsiTheme="majorHAnsi" w:cstheme="majorHAnsi"/>
        </w:rPr>
      </w:pPr>
      <w:r w:rsidRPr="00856EA3">
        <w:rPr>
          <w:rFonts w:asciiTheme="majorHAnsi" w:hAnsiTheme="majorHAnsi" w:cstheme="majorHAnsi"/>
          <w:b/>
          <w:sz w:val="22"/>
        </w:rPr>
        <w:t>IDEA 2 (</w:t>
      </w:r>
      <w:r w:rsidR="00CA2627" w:rsidRPr="00856EA3">
        <w:rPr>
          <w:rFonts w:asciiTheme="majorHAnsi" w:hAnsiTheme="majorHAnsi" w:cstheme="majorHAnsi"/>
          <w:b/>
          <w:sz w:val="22"/>
        </w:rPr>
        <w:t xml:space="preserve">More Ambitious – Could Be Used </w:t>
      </w:r>
      <w:r w:rsidRPr="00856EA3">
        <w:rPr>
          <w:rFonts w:asciiTheme="majorHAnsi" w:hAnsiTheme="majorHAnsi" w:cstheme="majorHAnsi"/>
          <w:b/>
          <w:sz w:val="22"/>
        </w:rPr>
        <w:t>Across Funds): Risk-Off Convexity Enhancement</w:t>
      </w:r>
    </w:p>
    <w:p w14:paraId="2CC806CC" w14:textId="77777777" w:rsidR="00E033E4" w:rsidRDefault="00000000">
      <w:pPr>
        <w:spacing w:after="60"/>
        <w:rPr>
          <w:rFonts w:asciiTheme="majorHAnsi" w:hAnsiTheme="majorHAnsi" w:cstheme="majorHAnsi"/>
          <w:szCs w:val="24"/>
        </w:rPr>
      </w:pPr>
      <w:r w:rsidRPr="00F63D2F">
        <w:rPr>
          <w:rFonts w:asciiTheme="majorHAnsi" w:hAnsiTheme="majorHAnsi" w:cstheme="majorHAnsi"/>
          <w:szCs w:val="24"/>
        </w:rPr>
        <w:t>Replace 100% SGOV during risk-off with instruments that profit from the conditions triggering our defensive posture. CAOS (tail-risk puts) + DBMF (trend-following) + SGOV (cash anchor), or HEQT (hedged equity) + DBMF + SGOV. No signal changes — only what the fund holds while waiting.</w:t>
      </w:r>
    </w:p>
    <w:p w14:paraId="30DBA257" w14:textId="77777777" w:rsidR="00F63D2F" w:rsidRPr="00F63D2F" w:rsidRDefault="00F63D2F">
      <w:pPr>
        <w:spacing w:after="60"/>
        <w:rPr>
          <w:rFonts w:asciiTheme="majorHAnsi" w:hAnsiTheme="majorHAnsi" w:cstheme="majorHAnsi"/>
          <w:sz w:val="22"/>
          <w:szCs w:val="24"/>
        </w:rPr>
      </w:pPr>
    </w:p>
    <w:p w14:paraId="10B99036" w14:textId="74C15C12" w:rsidR="00E033E4" w:rsidRPr="00856EA3" w:rsidRDefault="00000000">
      <w:pPr>
        <w:spacing w:before="80" w:after="40"/>
        <w:rPr>
          <w:rFonts w:asciiTheme="majorHAnsi" w:hAnsiTheme="majorHAnsi" w:cstheme="majorHAnsi"/>
          <w:sz w:val="22"/>
          <w:szCs w:val="24"/>
        </w:rPr>
      </w:pPr>
      <w:r w:rsidRPr="00856EA3">
        <w:rPr>
          <w:rFonts w:asciiTheme="majorHAnsi" w:hAnsiTheme="majorHAnsi" w:cstheme="majorHAnsi"/>
          <w:b/>
          <w:szCs w:val="24"/>
        </w:rPr>
        <w:t>173 Risk-Off Days</w:t>
      </w:r>
      <w:r w:rsidR="00797C75" w:rsidRPr="00856EA3">
        <w:rPr>
          <w:rFonts w:asciiTheme="majorHAnsi" w:hAnsiTheme="majorHAnsi" w:cstheme="majorHAnsi"/>
          <w:b/>
          <w:szCs w:val="24"/>
        </w:rPr>
        <w:t xml:space="preserve"> </w:t>
      </w:r>
      <w:r w:rsidR="00797C75" w:rsidRPr="00856EA3">
        <w:rPr>
          <w:rFonts w:asciiTheme="majorHAnsi" w:hAnsiTheme="majorHAnsi" w:cstheme="majorHAnsi"/>
          <w:b/>
          <w:szCs w:val="24"/>
        </w:rPr>
        <w:t>(Mar 2023 – Feb 2026</w:t>
      </w:r>
      <w:r w:rsidR="00797C75" w:rsidRPr="00856EA3">
        <w:rPr>
          <w:rFonts w:asciiTheme="majorHAnsi" w:hAnsiTheme="majorHAnsi" w:cstheme="majorHAnsi"/>
          <w:b/>
          <w:szCs w:val="24"/>
        </w:rPr>
        <w:t>)</w:t>
      </w:r>
      <w:r w:rsidRPr="00856EA3">
        <w:rPr>
          <w:rFonts w:asciiTheme="majorHAnsi" w:hAnsiTheme="majorHAnsi" w:cstheme="majorHAnsi"/>
          <w:b/>
          <w:szCs w:val="24"/>
        </w:rPr>
        <w:t xml:space="preserve"> — Comparative Performance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9"/>
        <w:gridCol w:w="1889"/>
        <w:gridCol w:w="1889"/>
        <w:gridCol w:w="1889"/>
        <w:gridCol w:w="1889"/>
      </w:tblGrid>
      <w:tr w:rsidR="00E033E4" w:rsidRPr="00DE1766" w14:paraId="39BDECE6" w14:textId="77777777" w:rsidTr="00797C75">
        <w:trPr>
          <w:trHeight w:val="412"/>
        </w:trPr>
        <w:tc>
          <w:tcPr>
            <w:tcW w:w="2309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</w:tcPr>
          <w:p w14:paraId="39DE21C3" w14:textId="77777777" w:rsidR="00E033E4" w:rsidRPr="00DE1766" w:rsidRDefault="00E033E4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889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</w:tcPr>
          <w:p w14:paraId="19C20DE2" w14:textId="5BE284DD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b/>
                <w:color w:val="FFFFFF"/>
                <w:sz w:val="16"/>
              </w:rPr>
              <w:t>SGOV</w:t>
            </w:r>
            <w:r w:rsidR="00674D11">
              <w:rPr>
                <w:rFonts w:asciiTheme="majorHAnsi" w:hAnsiTheme="majorHAnsi" w:cstheme="majorHAnsi"/>
                <w:b/>
                <w:color w:val="FFFFFF"/>
                <w:sz w:val="16"/>
              </w:rPr>
              <w:t>**</w:t>
            </w:r>
            <w:r w:rsidRPr="00DE1766">
              <w:rPr>
                <w:rFonts w:asciiTheme="majorHAnsi" w:hAnsiTheme="majorHAnsi" w:cstheme="majorHAnsi"/>
                <w:b/>
                <w:color w:val="FFFFFF"/>
                <w:sz w:val="16"/>
              </w:rPr>
              <w:br/>
              <w:t>(current)</w:t>
            </w:r>
          </w:p>
        </w:tc>
        <w:tc>
          <w:tcPr>
            <w:tcW w:w="1889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</w:tcPr>
          <w:p w14:paraId="449B5AFD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b/>
                <w:color w:val="FFFFFF"/>
                <w:sz w:val="16"/>
              </w:rPr>
              <w:t>50/50</w:t>
            </w:r>
            <w:r w:rsidRPr="00DE1766">
              <w:rPr>
                <w:rFonts w:asciiTheme="majorHAnsi" w:hAnsiTheme="majorHAnsi" w:cstheme="majorHAnsi"/>
                <w:b/>
                <w:color w:val="FFFFFF"/>
                <w:sz w:val="16"/>
              </w:rPr>
              <w:br/>
              <w:t>SGOV/CAOS</w:t>
            </w:r>
          </w:p>
        </w:tc>
        <w:tc>
          <w:tcPr>
            <w:tcW w:w="1889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</w:tcPr>
          <w:p w14:paraId="16FE651E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b/>
                <w:color w:val="FFFFFF"/>
                <w:sz w:val="16"/>
              </w:rPr>
              <w:t>EqWt</w:t>
            </w:r>
            <w:r w:rsidRPr="00DE1766">
              <w:rPr>
                <w:rFonts w:asciiTheme="majorHAnsi" w:hAnsiTheme="majorHAnsi" w:cstheme="majorHAnsi"/>
                <w:b/>
                <w:color w:val="FFFFFF"/>
                <w:sz w:val="16"/>
              </w:rPr>
              <w:br/>
              <w:t>3-Way</w:t>
            </w:r>
          </w:p>
        </w:tc>
        <w:tc>
          <w:tcPr>
            <w:tcW w:w="1889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</w:tcPr>
          <w:p w14:paraId="3879F522" w14:textId="4C847395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b/>
                <w:color w:val="FFFFFF"/>
                <w:sz w:val="16"/>
              </w:rPr>
              <w:t>15H/15D</w:t>
            </w:r>
            <w:r w:rsidRPr="00DE1766">
              <w:rPr>
                <w:rFonts w:asciiTheme="majorHAnsi" w:hAnsiTheme="majorHAnsi" w:cstheme="majorHAnsi"/>
                <w:b/>
                <w:color w:val="FFFFFF"/>
                <w:sz w:val="16"/>
              </w:rPr>
              <w:br/>
              <w:t>/70S</w:t>
            </w:r>
            <w:r w:rsidR="00674D11">
              <w:rPr>
                <w:rFonts w:asciiTheme="majorHAnsi" w:hAnsiTheme="majorHAnsi" w:cstheme="majorHAnsi"/>
                <w:b/>
                <w:color w:val="FFFFFF"/>
                <w:sz w:val="16"/>
              </w:rPr>
              <w:t>**</w:t>
            </w:r>
          </w:p>
        </w:tc>
      </w:tr>
      <w:tr w:rsidR="00E033E4" w:rsidRPr="00DE1766" w14:paraId="269D8B0F" w14:textId="77777777" w:rsidTr="00797C75">
        <w:trPr>
          <w:trHeight w:val="412"/>
        </w:trPr>
        <w:tc>
          <w:tcPr>
            <w:tcW w:w="23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35FB56" w14:textId="77777777" w:rsidR="00E033E4" w:rsidRPr="00DE1766" w:rsidRDefault="00000000">
            <w:pPr>
              <w:spacing w:before="20" w:after="20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b/>
                <w:sz w:val="16"/>
              </w:rPr>
              <w:t>Annualized</w:t>
            </w:r>
          </w:p>
        </w:tc>
        <w:tc>
          <w:tcPr>
            <w:tcW w:w="1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FF7EC88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+5.21%</w:t>
            </w:r>
          </w:p>
        </w:tc>
        <w:tc>
          <w:tcPr>
            <w:tcW w:w="1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539F287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+6.74%</w:t>
            </w:r>
          </w:p>
        </w:tc>
        <w:tc>
          <w:tcPr>
            <w:tcW w:w="1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8"/>
          </w:tcPr>
          <w:p w14:paraId="1B19E5B5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+8.39%</w:t>
            </w:r>
          </w:p>
        </w:tc>
        <w:tc>
          <w:tcPr>
            <w:tcW w:w="1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8"/>
          </w:tcPr>
          <w:p w14:paraId="4B8E213A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+7.92%</w:t>
            </w:r>
          </w:p>
        </w:tc>
      </w:tr>
      <w:tr w:rsidR="00E033E4" w:rsidRPr="00DE1766" w14:paraId="6B3F0BA7" w14:textId="77777777" w:rsidTr="00797C75">
        <w:trPr>
          <w:trHeight w:val="412"/>
        </w:trPr>
        <w:tc>
          <w:tcPr>
            <w:tcW w:w="23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EC81E3" w14:textId="77777777" w:rsidR="00E033E4" w:rsidRPr="00DE1766" w:rsidRDefault="00000000">
            <w:pPr>
              <w:spacing w:before="20" w:after="20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b/>
                <w:sz w:val="16"/>
              </w:rPr>
              <w:t>Geometric</w:t>
            </w:r>
          </w:p>
        </w:tc>
        <w:tc>
          <w:tcPr>
            <w:tcW w:w="1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03FA73A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+3.64%</w:t>
            </w:r>
          </w:p>
        </w:tc>
        <w:tc>
          <w:tcPr>
            <w:tcW w:w="1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4FF13AB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+4.71%</w:t>
            </w:r>
          </w:p>
        </w:tc>
        <w:tc>
          <w:tcPr>
            <w:tcW w:w="1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8"/>
          </w:tcPr>
          <w:p w14:paraId="68A2586B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+5.85%</w:t>
            </w:r>
          </w:p>
        </w:tc>
        <w:tc>
          <w:tcPr>
            <w:tcW w:w="1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8"/>
          </w:tcPr>
          <w:p w14:paraId="3726EC2B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+5.56%</w:t>
            </w:r>
          </w:p>
        </w:tc>
      </w:tr>
      <w:tr w:rsidR="00E033E4" w:rsidRPr="00DE1766" w14:paraId="4070AA5C" w14:textId="77777777" w:rsidTr="00797C75">
        <w:trPr>
          <w:trHeight w:val="412"/>
        </w:trPr>
        <w:tc>
          <w:tcPr>
            <w:tcW w:w="23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AF044B" w14:textId="77777777" w:rsidR="00E033E4" w:rsidRPr="00DE1766" w:rsidRDefault="00000000">
            <w:pPr>
              <w:spacing w:before="20" w:after="20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b/>
                <w:sz w:val="16"/>
              </w:rPr>
              <w:t>Volatility</w:t>
            </w:r>
          </w:p>
        </w:tc>
        <w:tc>
          <w:tcPr>
            <w:tcW w:w="1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44B08D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0.24%</w:t>
            </w:r>
          </w:p>
        </w:tc>
        <w:tc>
          <w:tcPr>
            <w:tcW w:w="1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335DC14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2.56%</w:t>
            </w:r>
          </w:p>
        </w:tc>
        <w:tc>
          <w:tcPr>
            <w:tcW w:w="1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8"/>
          </w:tcPr>
          <w:p w14:paraId="1448B05A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4.48%</w:t>
            </w:r>
          </w:p>
        </w:tc>
        <w:tc>
          <w:tcPr>
            <w:tcW w:w="1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8"/>
          </w:tcPr>
          <w:p w14:paraId="43A2324E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2.55%</w:t>
            </w:r>
          </w:p>
        </w:tc>
      </w:tr>
      <w:tr w:rsidR="00E033E4" w:rsidRPr="00DE1766" w14:paraId="04FBDC69" w14:textId="77777777" w:rsidTr="00797C75">
        <w:trPr>
          <w:trHeight w:val="412"/>
        </w:trPr>
        <w:tc>
          <w:tcPr>
            <w:tcW w:w="23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4464F6" w14:textId="77777777" w:rsidR="00E033E4" w:rsidRPr="00DE1766" w:rsidRDefault="00000000">
            <w:pPr>
              <w:spacing w:before="20" w:after="20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b/>
                <w:sz w:val="16"/>
              </w:rPr>
              <w:t>Beta to S&amp;P</w:t>
            </w:r>
          </w:p>
        </w:tc>
        <w:tc>
          <w:tcPr>
            <w:tcW w:w="1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E20D88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0.0005</w:t>
            </w:r>
          </w:p>
        </w:tc>
        <w:tc>
          <w:tcPr>
            <w:tcW w:w="1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22DDDEB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0.002</w:t>
            </w:r>
          </w:p>
        </w:tc>
        <w:tc>
          <w:tcPr>
            <w:tcW w:w="1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8"/>
          </w:tcPr>
          <w:p w14:paraId="04A74D1A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0.07</w:t>
            </w:r>
          </w:p>
        </w:tc>
        <w:tc>
          <w:tcPr>
            <w:tcW w:w="1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8"/>
          </w:tcPr>
          <w:p w14:paraId="214591EC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0.10</w:t>
            </w:r>
          </w:p>
        </w:tc>
      </w:tr>
      <w:tr w:rsidR="00E033E4" w:rsidRPr="00DE1766" w14:paraId="4EACF9C4" w14:textId="77777777" w:rsidTr="00797C75">
        <w:trPr>
          <w:trHeight w:val="412"/>
        </w:trPr>
        <w:tc>
          <w:tcPr>
            <w:tcW w:w="23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D435B2C" w14:textId="77777777" w:rsidR="00E033E4" w:rsidRPr="00DE1766" w:rsidRDefault="00000000">
            <w:pPr>
              <w:spacing w:before="20" w:after="20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b/>
                <w:sz w:val="16"/>
              </w:rPr>
              <w:t>Incremental</w:t>
            </w:r>
          </w:p>
        </w:tc>
        <w:tc>
          <w:tcPr>
            <w:tcW w:w="1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0D7536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—</w:t>
            </w:r>
          </w:p>
        </w:tc>
        <w:tc>
          <w:tcPr>
            <w:tcW w:w="1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B56645F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+1.07%</w:t>
            </w:r>
          </w:p>
        </w:tc>
        <w:tc>
          <w:tcPr>
            <w:tcW w:w="1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8"/>
          </w:tcPr>
          <w:p w14:paraId="5C555C7D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+2.21%</w:t>
            </w:r>
          </w:p>
        </w:tc>
        <w:tc>
          <w:tcPr>
            <w:tcW w:w="1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8"/>
          </w:tcPr>
          <w:p w14:paraId="51CA084B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+1.92%</w:t>
            </w:r>
          </w:p>
        </w:tc>
      </w:tr>
    </w:tbl>
    <w:p w14:paraId="11F24049" w14:textId="77777777" w:rsidR="00674D11" w:rsidRDefault="00674D11" w:rsidP="00797C75">
      <w:pPr>
        <w:spacing w:before="40" w:after="120"/>
        <w:rPr>
          <w:rFonts w:asciiTheme="majorHAnsi" w:hAnsiTheme="majorHAnsi" w:cstheme="majorHAnsi"/>
          <w:b/>
          <w:bCs/>
          <w:sz w:val="18"/>
          <w:szCs w:val="28"/>
        </w:rPr>
      </w:pPr>
    </w:p>
    <w:p w14:paraId="0DC82C60" w14:textId="77777777" w:rsidR="00856EA3" w:rsidRPr="00856EA3" w:rsidRDefault="00797C75" w:rsidP="00797C75">
      <w:pPr>
        <w:spacing w:before="40" w:after="120"/>
        <w:rPr>
          <w:rFonts w:asciiTheme="majorHAnsi" w:hAnsiTheme="majorHAnsi" w:cstheme="majorHAnsi"/>
          <w:b/>
          <w:bCs/>
          <w:sz w:val="18"/>
          <w:szCs w:val="28"/>
        </w:rPr>
      </w:pPr>
      <w:r w:rsidRPr="00856EA3">
        <w:rPr>
          <w:rFonts w:asciiTheme="majorHAnsi" w:hAnsiTheme="majorHAnsi" w:cstheme="majorHAnsi"/>
          <w:b/>
          <w:bCs/>
          <w:sz w:val="18"/>
          <w:szCs w:val="28"/>
        </w:rPr>
        <w:t>**</w:t>
      </w:r>
      <w:r w:rsidR="00000000" w:rsidRPr="00856EA3">
        <w:rPr>
          <w:rFonts w:asciiTheme="majorHAnsi" w:hAnsiTheme="majorHAnsi" w:cstheme="majorHAnsi"/>
          <w:b/>
          <w:bCs/>
          <w:sz w:val="18"/>
          <w:szCs w:val="28"/>
        </w:rPr>
        <w:t xml:space="preserve">SGOV imputed for CRDBX NAV rounding. </w:t>
      </w:r>
    </w:p>
    <w:p w14:paraId="5CF6A9D8" w14:textId="6A45DC8F" w:rsidR="00E033E4" w:rsidRPr="00856EA3" w:rsidRDefault="00856EA3" w:rsidP="00797C75">
      <w:pPr>
        <w:spacing w:before="40" w:after="120"/>
        <w:rPr>
          <w:rFonts w:asciiTheme="majorHAnsi" w:hAnsiTheme="majorHAnsi" w:cstheme="majorHAnsi"/>
          <w:b/>
          <w:bCs/>
          <w:sz w:val="24"/>
          <w:szCs w:val="28"/>
        </w:rPr>
      </w:pPr>
      <w:r w:rsidRPr="00856EA3">
        <w:rPr>
          <w:rFonts w:asciiTheme="majorHAnsi" w:hAnsiTheme="majorHAnsi" w:cstheme="majorHAnsi"/>
          <w:b/>
          <w:bCs/>
          <w:sz w:val="18"/>
          <w:szCs w:val="28"/>
        </w:rPr>
        <w:t>**</w:t>
      </w:r>
      <w:r w:rsidR="00000000" w:rsidRPr="00856EA3">
        <w:rPr>
          <w:rFonts w:asciiTheme="majorHAnsi" w:hAnsiTheme="majorHAnsi" w:cstheme="majorHAnsi"/>
          <w:b/>
          <w:bCs/>
          <w:sz w:val="18"/>
          <w:szCs w:val="28"/>
        </w:rPr>
        <w:t>15H/15D/70S = 15% HEQT + 15% DBMF + 70% SGOV</w:t>
      </w:r>
    </w:p>
    <w:p w14:paraId="30397A82" w14:textId="77777777" w:rsidR="001B7575" w:rsidRPr="00856EA3" w:rsidRDefault="001B7575">
      <w:pPr>
        <w:spacing w:before="160"/>
        <w:rPr>
          <w:rFonts w:asciiTheme="majorHAnsi" w:hAnsiTheme="majorHAnsi" w:cstheme="majorHAnsi"/>
          <w:b/>
          <w:sz w:val="22"/>
        </w:rPr>
      </w:pPr>
    </w:p>
    <w:p w14:paraId="7DDEB4E8" w14:textId="433DAD98" w:rsidR="00E033E4" w:rsidRPr="00856EA3" w:rsidRDefault="00000000">
      <w:pPr>
        <w:spacing w:before="160"/>
        <w:rPr>
          <w:rFonts w:asciiTheme="majorHAnsi" w:hAnsiTheme="majorHAnsi" w:cstheme="majorHAnsi"/>
        </w:rPr>
      </w:pPr>
      <w:r w:rsidRPr="00856EA3">
        <w:rPr>
          <w:rFonts w:asciiTheme="majorHAnsi" w:hAnsiTheme="majorHAnsi" w:cstheme="majorHAnsi"/>
          <w:b/>
          <w:sz w:val="22"/>
        </w:rPr>
        <w:t>IDEA 3 (CRTOX): CRTOX Universe Analysis</w:t>
      </w:r>
    </w:p>
    <w:p w14:paraId="63CF28A2" w14:textId="77777777" w:rsidR="00E033E4" w:rsidRPr="00856EA3" w:rsidRDefault="00000000">
      <w:pPr>
        <w:spacing w:after="40"/>
        <w:rPr>
          <w:rFonts w:asciiTheme="majorHAnsi" w:hAnsiTheme="majorHAnsi" w:cstheme="majorHAnsi"/>
          <w:sz w:val="22"/>
          <w:szCs w:val="24"/>
        </w:rPr>
      </w:pPr>
      <w:r w:rsidRPr="00856EA3">
        <w:rPr>
          <w:rFonts w:asciiTheme="majorHAnsi" w:hAnsiTheme="majorHAnsi" w:cstheme="majorHAnsi"/>
          <w:b/>
          <w:szCs w:val="24"/>
        </w:rPr>
        <w:t>Universe Changes</w:t>
      </w:r>
    </w:p>
    <w:p w14:paraId="1D56AE8A" w14:textId="1966C3F3" w:rsidR="00E033E4" w:rsidRPr="00856EA3" w:rsidRDefault="00000000">
      <w:pPr>
        <w:spacing w:after="40"/>
        <w:rPr>
          <w:rFonts w:asciiTheme="majorHAnsi" w:hAnsiTheme="majorHAnsi" w:cstheme="majorHAnsi"/>
          <w:sz w:val="22"/>
          <w:szCs w:val="24"/>
        </w:rPr>
      </w:pPr>
      <w:r w:rsidRPr="00856EA3">
        <w:rPr>
          <w:rFonts w:asciiTheme="majorHAnsi" w:hAnsiTheme="majorHAnsi" w:cstheme="majorHAnsi"/>
          <w:b/>
          <w:szCs w:val="24"/>
        </w:rPr>
        <w:t xml:space="preserve">Add: </w:t>
      </w:r>
      <w:r w:rsidRPr="00856EA3">
        <w:rPr>
          <w:rFonts w:asciiTheme="majorHAnsi" w:hAnsiTheme="majorHAnsi" w:cstheme="majorHAnsi"/>
          <w:szCs w:val="24"/>
        </w:rPr>
        <w:t>URNM (uranium), COPX (copper), PAVE (infrastructure), CIBR (cybersecurity), AMLP (midstream MLPs), EMXC (EM ex-China), XBI (equal-weight biotech)</w:t>
      </w:r>
      <w:r w:rsidR="00E13299" w:rsidRPr="00856EA3">
        <w:rPr>
          <w:rFonts w:asciiTheme="majorHAnsi" w:hAnsiTheme="majorHAnsi" w:cstheme="majorHAnsi"/>
          <w:szCs w:val="24"/>
        </w:rPr>
        <w:t xml:space="preserve">, </w:t>
      </w:r>
      <w:r w:rsidR="00E13299" w:rsidRPr="00856EA3">
        <w:rPr>
          <w:rFonts w:asciiTheme="majorHAnsi" w:hAnsiTheme="majorHAnsi" w:cstheme="majorHAnsi"/>
          <w:b/>
          <w:bCs/>
          <w:szCs w:val="24"/>
        </w:rPr>
        <w:t>CTA</w:t>
      </w:r>
      <w:r w:rsidR="00E95061" w:rsidRPr="00856EA3">
        <w:rPr>
          <w:rFonts w:asciiTheme="majorHAnsi" w:hAnsiTheme="majorHAnsi" w:cstheme="majorHAnsi"/>
          <w:b/>
          <w:bCs/>
          <w:szCs w:val="24"/>
        </w:rPr>
        <w:t xml:space="preserve"> (Commodities-Only Strategy from Simplify)</w:t>
      </w:r>
    </w:p>
    <w:p w14:paraId="217295E3" w14:textId="77777777" w:rsidR="00E033E4" w:rsidRPr="00856EA3" w:rsidRDefault="00000000">
      <w:pPr>
        <w:spacing w:after="40"/>
        <w:rPr>
          <w:rFonts w:asciiTheme="majorHAnsi" w:hAnsiTheme="majorHAnsi" w:cstheme="majorHAnsi"/>
          <w:sz w:val="22"/>
          <w:szCs w:val="24"/>
        </w:rPr>
      </w:pPr>
      <w:r w:rsidRPr="00856EA3">
        <w:rPr>
          <w:rFonts w:asciiTheme="majorHAnsi" w:hAnsiTheme="majorHAnsi" w:cstheme="majorHAnsi"/>
          <w:b/>
          <w:szCs w:val="24"/>
        </w:rPr>
        <w:t xml:space="preserve">Drop/Limit: </w:t>
      </w:r>
      <w:r w:rsidRPr="00856EA3">
        <w:rPr>
          <w:rFonts w:asciiTheme="majorHAnsi" w:hAnsiTheme="majorHAnsi" w:cstheme="majorHAnsi"/>
          <w:szCs w:val="24"/>
        </w:rPr>
        <w:t>IGV, IAI, SOXX (high overlap with existing holdings)</w:t>
      </w:r>
    </w:p>
    <w:p w14:paraId="139192A6" w14:textId="28A48205" w:rsidR="001B7575" w:rsidRPr="00856EA3" w:rsidRDefault="00000000">
      <w:pPr>
        <w:rPr>
          <w:rFonts w:asciiTheme="majorHAnsi" w:hAnsiTheme="majorHAnsi" w:cstheme="majorHAnsi"/>
          <w:sz w:val="18"/>
        </w:rPr>
      </w:pPr>
      <w:r w:rsidRPr="00856EA3">
        <w:rPr>
          <w:rFonts w:asciiTheme="majorHAnsi" w:hAnsiTheme="majorHAnsi" w:cstheme="majorHAnsi"/>
          <w:b/>
          <w:szCs w:val="24"/>
        </w:rPr>
        <w:t xml:space="preserve">Result: </w:t>
      </w:r>
      <w:r w:rsidRPr="00856EA3">
        <w:rPr>
          <w:rFonts w:asciiTheme="majorHAnsi" w:hAnsiTheme="majorHAnsi" w:cstheme="majorHAnsi"/>
          <w:szCs w:val="24"/>
        </w:rPr>
        <w:t>Average pairwise correlation drops from 0.574 to 0.501</w:t>
      </w:r>
    </w:p>
    <w:p w14:paraId="502EAE06" w14:textId="77777777" w:rsidR="001B7575" w:rsidRDefault="001B7575">
      <w:pPr>
        <w:rPr>
          <w:rFonts w:asciiTheme="majorHAnsi" w:hAnsiTheme="majorHAnsi" w:cstheme="majorHAnsi"/>
          <w:sz w:val="18"/>
        </w:rPr>
      </w:pPr>
    </w:p>
    <w:p w14:paraId="3A0468D2" w14:textId="77777777" w:rsidR="001B7575" w:rsidRPr="00856EA3" w:rsidRDefault="001B7575">
      <w:pPr>
        <w:rPr>
          <w:rFonts w:asciiTheme="majorHAnsi" w:hAnsiTheme="majorHAnsi" w:cstheme="majorHAnsi"/>
        </w:rPr>
      </w:pPr>
    </w:p>
    <w:p w14:paraId="73CC3EDF" w14:textId="77777777" w:rsidR="00E033E4" w:rsidRPr="00856EA3" w:rsidRDefault="00000000">
      <w:pPr>
        <w:spacing w:after="40"/>
        <w:rPr>
          <w:rFonts w:asciiTheme="majorHAnsi" w:hAnsiTheme="majorHAnsi" w:cstheme="majorHAnsi"/>
          <w:sz w:val="22"/>
          <w:szCs w:val="24"/>
        </w:rPr>
      </w:pPr>
      <w:r w:rsidRPr="00856EA3">
        <w:rPr>
          <w:rFonts w:asciiTheme="majorHAnsi" w:hAnsiTheme="majorHAnsi" w:cstheme="majorHAnsi"/>
          <w:b/>
          <w:szCs w:val="24"/>
        </w:rPr>
        <w:t>Backtest Comparison (2021–2026)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8"/>
        <w:gridCol w:w="2308"/>
        <w:gridCol w:w="2308"/>
        <w:gridCol w:w="2769"/>
      </w:tblGrid>
      <w:tr w:rsidR="00E033E4" w:rsidRPr="00DE1766" w14:paraId="7249F210" w14:textId="77777777" w:rsidTr="001B7575">
        <w:trPr>
          <w:trHeight w:val="453"/>
        </w:trPr>
        <w:tc>
          <w:tcPr>
            <w:tcW w:w="2308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</w:tcPr>
          <w:p w14:paraId="7D94DCFB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b/>
                <w:color w:val="FFFFFF"/>
                <w:sz w:val="16"/>
              </w:rPr>
              <w:t>Metric</w:t>
            </w:r>
          </w:p>
        </w:tc>
        <w:tc>
          <w:tcPr>
            <w:tcW w:w="2308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</w:tcPr>
          <w:p w14:paraId="52EE7FA5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b/>
                <w:color w:val="FFFFFF"/>
                <w:sz w:val="16"/>
              </w:rPr>
              <w:t>Current</w:t>
            </w:r>
          </w:p>
        </w:tc>
        <w:tc>
          <w:tcPr>
            <w:tcW w:w="2308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</w:tcPr>
          <w:p w14:paraId="22A3BD87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b/>
                <w:color w:val="FFFFFF"/>
                <w:sz w:val="16"/>
              </w:rPr>
              <w:t>Proposed</w:t>
            </w:r>
          </w:p>
        </w:tc>
        <w:tc>
          <w:tcPr>
            <w:tcW w:w="2769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</w:tcPr>
          <w:p w14:paraId="7EAA9CAF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b/>
                <w:color w:val="FFFFFF"/>
                <w:sz w:val="16"/>
              </w:rPr>
              <w:t>Proposed +</w:t>
            </w:r>
            <w:r w:rsidRPr="00DE1766">
              <w:rPr>
                <w:rFonts w:asciiTheme="majorHAnsi" w:hAnsiTheme="majorHAnsi" w:cstheme="majorHAnsi"/>
                <w:b/>
                <w:color w:val="FFFFFF"/>
                <w:sz w:val="16"/>
              </w:rPr>
              <w:br/>
              <w:t>New Risk-Off</w:t>
            </w:r>
          </w:p>
        </w:tc>
      </w:tr>
      <w:tr w:rsidR="00E033E4" w:rsidRPr="00DE1766" w14:paraId="1035D677" w14:textId="77777777" w:rsidTr="001B7575">
        <w:trPr>
          <w:trHeight w:val="453"/>
        </w:trPr>
        <w:tc>
          <w:tcPr>
            <w:tcW w:w="23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D83FD5" w14:textId="77777777" w:rsidR="00E033E4" w:rsidRPr="00DE1766" w:rsidRDefault="00000000">
            <w:pPr>
              <w:spacing w:before="20" w:after="20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b/>
                <w:sz w:val="16"/>
              </w:rPr>
              <w:t>Ann Return</w:t>
            </w:r>
          </w:p>
        </w:tc>
        <w:tc>
          <w:tcPr>
            <w:tcW w:w="23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159723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19.59%</w:t>
            </w:r>
          </w:p>
        </w:tc>
        <w:tc>
          <w:tcPr>
            <w:tcW w:w="23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F53DB81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20.97%</w:t>
            </w:r>
          </w:p>
        </w:tc>
        <w:tc>
          <w:tcPr>
            <w:tcW w:w="27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8"/>
          </w:tcPr>
          <w:p w14:paraId="1F18A9C6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21.28%</w:t>
            </w:r>
          </w:p>
        </w:tc>
      </w:tr>
      <w:tr w:rsidR="00E033E4" w:rsidRPr="00DE1766" w14:paraId="46E0F985" w14:textId="77777777" w:rsidTr="001B7575">
        <w:trPr>
          <w:trHeight w:val="453"/>
        </w:trPr>
        <w:tc>
          <w:tcPr>
            <w:tcW w:w="23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C715C48" w14:textId="77777777" w:rsidR="00E033E4" w:rsidRPr="00DE1766" w:rsidRDefault="00000000">
            <w:pPr>
              <w:spacing w:before="20" w:after="20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b/>
                <w:sz w:val="16"/>
              </w:rPr>
              <w:t>Ann Vol</w:t>
            </w:r>
          </w:p>
        </w:tc>
        <w:tc>
          <w:tcPr>
            <w:tcW w:w="23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EE3A2F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20.26%</w:t>
            </w:r>
          </w:p>
        </w:tc>
        <w:tc>
          <w:tcPr>
            <w:tcW w:w="23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53AD2A7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22.26%</w:t>
            </w:r>
          </w:p>
        </w:tc>
        <w:tc>
          <w:tcPr>
            <w:tcW w:w="27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8"/>
          </w:tcPr>
          <w:p w14:paraId="3CAFFF46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22.28%</w:t>
            </w:r>
          </w:p>
        </w:tc>
      </w:tr>
      <w:tr w:rsidR="00E033E4" w:rsidRPr="00DE1766" w14:paraId="7F55B5D1" w14:textId="77777777" w:rsidTr="001B7575">
        <w:trPr>
          <w:trHeight w:val="453"/>
        </w:trPr>
        <w:tc>
          <w:tcPr>
            <w:tcW w:w="23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D13C08" w14:textId="77777777" w:rsidR="00E033E4" w:rsidRPr="00DE1766" w:rsidRDefault="00000000">
            <w:pPr>
              <w:spacing w:before="20" w:after="20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b/>
                <w:sz w:val="16"/>
              </w:rPr>
              <w:t>Sharpe</w:t>
            </w:r>
          </w:p>
        </w:tc>
        <w:tc>
          <w:tcPr>
            <w:tcW w:w="23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8F8DB24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0.97</w:t>
            </w:r>
          </w:p>
        </w:tc>
        <w:tc>
          <w:tcPr>
            <w:tcW w:w="23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FBE4EB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0.94</w:t>
            </w:r>
          </w:p>
        </w:tc>
        <w:tc>
          <w:tcPr>
            <w:tcW w:w="27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8"/>
          </w:tcPr>
          <w:p w14:paraId="2389FA58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0.96</w:t>
            </w:r>
          </w:p>
        </w:tc>
      </w:tr>
      <w:tr w:rsidR="00E033E4" w:rsidRPr="00DE1766" w14:paraId="63BC4647" w14:textId="77777777" w:rsidTr="001B7575">
        <w:trPr>
          <w:trHeight w:val="453"/>
        </w:trPr>
        <w:tc>
          <w:tcPr>
            <w:tcW w:w="23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2D0771" w14:textId="77777777" w:rsidR="00E033E4" w:rsidRPr="00DE1766" w:rsidRDefault="00000000">
            <w:pPr>
              <w:spacing w:before="20" w:after="20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b/>
                <w:sz w:val="16"/>
              </w:rPr>
              <w:t>Max DD</w:t>
            </w:r>
          </w:p>
        </w:tc>
        <w:tc>
          <w:tcPr>
            <w:tcW w:w="23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8833EE9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-26.22%</w:t>
            </w:r>
          </w:p>
        </w:tc>
        <w:tc>
          <w:tcPr>
            <w:tcW w:w="23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E1147B6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-22.95%</w:t>
            </w:r>
          </w:p>
        </w:tc>
        <w:tc>
          <w:tcPr>
            <w:tcW w:w="27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8"/>
          </w:tcPr>
          <w:p w14:paraId="37F8ED81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-22.60%</w:t>
            </w:r>
          </w:p>
        </w:tc>
      </w:tr>
      <w:tr w:rsidR="00E033E4" w:rsidRPr="00DE1766" w14:paraId="08166F4C" w14:textId="77777777" w:rsidTr="001B7575">
        <w:trPr>
          <w:trHeight w:val="453"/>
        </w:trPr>
        <w:tc>
          <w:tcPr>
            <w:tcW w:w="23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E0F885" w14:textId="77777777" w:rsidR="00E033E4" w:rsidRPr="00DE1766" w:rsidRDefault="00000000">
            <w:pPr>
              <w:spacing w:before="20" w:after="20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b/>
                <w:sz w:val="16"/>
              </w:rPr>
              <w:t>Calmar</w:t>
            </w:r>
          </w:p>
        </w:tc>
        <w:tc>
          <w:tcPr>
            <w:tcW w:w="23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AAE147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0.75</w:t>
            </w:r>
          </w:p>
        </w:tc>
        <w:tc>
          <w:tcPr>
            <w:tcW w:w="23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B914E44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0.91</w:t>
            </w:r>
          </w:p>
        </w:tc>
        <w:tc>
          <w:tcPr>
            <w:tcW w:w="27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8"/>
          </w:tcPr>
          <w:p w14:paraId="007448B8" w14:textId="77777777" w:rsidR="00E033E4" w:rsidRPr="00DE1766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E1766">
              <w:rPr>
                <w:rFonts w:asciiTheme="majorHAnsi" w:hAnsiTheme="majorHAnsi" w:cstheme="majorHAnsi"/>
                <w:sz w:val="16"/>
              </w:rPr>
              <w:t>0.94</w:t>
            </w:r>
          </w:p>
        </w:tc>
      </w:tr>
    </w:tbl>
    <w:p w14:paraId="5FB86FC7" w14:textId="77777777" w:rsidR="00E033E4" w:rsidRPr="00DE1766" w:rsidRDefault="00E033E4">
      <w:pPr>
        <w:spacing w:before="40"/>
        <w:rPr>
          <w:rFonts w:asciiTheme="majorHAnsi" w:hAnsiTheme="majorHAnsi" w:cstheme="majorHAnsi"/>
        </w:rPr>
      </w:pPr>
    </w:p>
    <w:p w14:paraId="41A52156" w14:textId="77777777" w:rsidR="00E033E4" w:rsidRPr="00856EA3" w:rsidRDefault="00000000">
      <w:pPr>
        <w:spacing w:after="40"/>
        <w:rPr>
          <w:rFonts w:asciiTheme="majorHAnsi" w:hAnsiTheme="majorHAnsi" w:cstheme="majorHAnsi"/>
          <w:sz w:val="22"/>
          <w:szCs w:val="24"/>
        </w:rPr>
      </w:pPr>
      <w:r w:rsidRPr="00856EA3">
        <w:rPr>
          <w:rFonts w:asciiTheme="majorHAnsi" w:hAnsiTheme="majorHAnsi" w:cstheme="majorHAnsi"/>
          <w:b/>
          <w:szCs w:val="24"/>
        </w:rPr>
        <w:t>Recommendations</w:t>
      </w:r>
    </w:p>
    <w:p w14:paraId="76FCC1F2" w14:textId="77777777" w:rsidR="00E033E4" w:rsidRPr="00856EA3" w:rsidRDefault="00000000">
      <w:pPr>
        <w:spacing w:after="20"/>
        <w:ind w:left="216"/>
        <w:rPr>
          <w:rFonts w:asciiTheme="majorHAnsi" w:hAnsiTheme="majorHAnsi" w:cstheme="majorHAnsi"/>
          <w:sz w:val="22"/>
          <w:szCs w:val="24"/>
        </w:rPr>
      </w:pPr>
      <w:r w:rsidRPr="00856EA3">
        <w:rPr>
          <w:rFonts w:asciiTheme="majorHAnsi" w:hAnsiTheme="majorHAnsi" w:cstheme="majorHAnsi"/>
          <w:szCs w:val="24"/>
        </w:rPr>
        <w:t>1. Implement expanded universe to reduce correlation and add distinct macro themes.</w:t>
      </w:r>
    </w:p>
    <w:p w14:paraId="59A95BB8" w14:textId="73E8DA3A" w:rsidR="00E033E4" w:rsidRPr="00856EA3" w:rsidRDefault="00000000">
      <w:pPr>
        <w:spacing w:after="20"/>
        <w:ind w:left="216"/>
        <w:rPr>
          <w:rFonts w:asciiTheme="majorHAnsi" w:hAnsiTheme="majorHAnsi" w:cstheme="majorHAnsi"/>
          <w:sz w:val="22"/>
          <w:szCs w:val="24"/>
        </w:rPr>
      </w:pPr>
      <w:r w:rsidRPr="00856EA3">
        <w:rPr>
          <w:rFonts w:asciiTheme="majorHAnsi" w:hAnsiTheme="majorHAnsi" w:cstheme="majorHAnsi"/>
          <w:szCs w:val="24"/>
        </w:rPr>
        <w:t xml:space="preserve">2. Replace </w:t>
      </w:r>
      <w:r w:rsidR="003A1D16" w:rsidRPr="00856EA3">
        <w:rPr>
          <w:rFonts w:asciiTheme="majorHAnsi" w:hAnsiTheme="majorHAnsi" w:cstheme="majorHAnsi"/>
          <w:szCs w:val="24"/>
        </w:rPr>
        <w:t>money market</w:t>
      </w:r>
      <w:r w:rsidR="00636922" w:rsidRPr="00856EA3">
        <w:rPr>
          <w:rFonts w:asciiTheme="majorHAnsi" w:hAnsiTheme="majorHAnsi" w:cstheme="majorHAnsi"/>
          <w:szCs w:val="24"/>
        </w:rPr>
        <w:t xml:space="preserve">/treasuries </w:t>
      </w:r>
      <w:r w:rsidRPr="00856EA3">
        <w:rPr>
          <w:rFonts w:asciiTheme="majorHAnsi" w:hAnsiTheme="majorHAnsi" w:cstheme="majorHAnsi"/>
          <w:szCs w:val="24"/>
        </w:rPr>
        <w:t xml:space="preserve">risk-off with </w:t>
      </w:r>
      <w:r w:rsidR="00636922" w:rsidRPr="00856EA3">
        <w:rPr>
          <w:rFonts w:asciiTheme="majorHAnsi" w:hAnsiTheme="majorHAnsi" w:cstheme="majorHAnsi"/>
          <w:szCs w:val="24"/>
        </w:rPr>
        <w:t xml:space="preserve">a </w:t>
      </w:r>
      <w:r w:rsidRPr="00856EA3">
        <w:rPr>
          <w:rFonts w:asciiTheme="majorHAnsi" w:hAnsiTheme="majorHAnsi" w:cstheme="majorHAnsi"/>
          <w:szCs w:val="24"/>
        </w:rPr>
        <w:t>SGOV/DBMF/CAOS blend for positive expected return during risk-off periods.</w:t>
      </w:r>
    </w:p>
    <w:p w14:paraId="513096F5" w14:textId="77777777" w:rsidR="00E033E4" w:rsidRPr="00856EA3" w:rsidRDefault="00000000">
      <w:pPr>
        <w:spacing w:after="20"/>
        <w:ind w:left="216"/>
        <w:rPr>
          <w:rFonts w:asciiTheme="majorHAnsi" w:hAnsiTheme="majorHAnsi" w:cstheme="majorHAnsi"/>
          <w:sz w:val="22"/>
          <w:szCs w:val="24"/>
        </w:rPr>
      </w:pPr>
      <w:r w:rsidRPr="00856EA3">
        <w:rPr>
          <w:rFonts w:asciiTheme="majorHAnsi" w:hAnsiTheme="majorHAnsi" w:cstheme="majorHAnsi"/>
          <w:szCs w:val="24"/>
        </w:rPr>
        <w:t>3. Consider CTA (Simplify) as permanent 5–10% strategic allocation for systematic commodity trend exposure.</w:t>
      </w:r>
    </w:p>
    <w:p w14:paraId="501C0B2C" w14:textId="77777777" w:rsidR="00E033E4" w:rsidRPr="00856EA3" w:rsidRDefault="00000000">
      <w:pPr>
        <w:spacing w:after="20"/>
        <w:ind w:left="216"/>
        <w:rPr>
          <w:rFonts w:asciiTheme="majorHAnsi" w:hAnsiTheme="majorHAnsi" w:cstheme="majorHAnsi"/>
          <w:sz w:val="22"/>
          <w:szCs w:val="24"/>
        </w:rPr>
      </w:pPr>
      <w:r w:rsidRPr="00856EA3">
        <w:rPr>
          <w:rFonts w:asciiTheme="majorHAnsi" w:hAnsiTheme="majorHAnsi" w:cstheme="majorHAnsi"/>
          <w:szCs w:val="24"/>
        </w:rPr>
        <w:t>4. Activate tax-loss harvesting protocol with correlated-but-not-identical pair ETFs.</w:t>
      </w:r>
    </w:p>
    <w:sectPr w:rsidR="00E033E4" w:rsidRPr="00856EA3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EC544A"/>
    <w:multiLevelType w:val="hybridMultilevel"/>
    <w:tmpl w:val="A29491A8"/>
    <w:lvl w:ilvl="0" w:tplc="870EA3DC">
      <w:start w:val="17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HAnsi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76634">
    <w:abstractNumId w:val="8"/>
  </w:num>
  <w:num w:numId="2" w16cid:durableId="492336908">
    <w:abstractNumId w:val="6"/>
  </w:num>
  <w:num w:numId="3" w16cid:durableId="155807426">
    <w:abstractNumId w:val="5"/>
  </w:num>
  <w:num w:numId="4" w16cid:durableId="1254246594">
    <w:abstractNumId w:val="4"/>
  </w:num>
  <w:num w:numId="5" w16cid:durableId="89129986">
    <w:abstractNumId w:val="7"/>
  </w:num>
  <w:num w:numId="6" w16cid:durableId="771389772">
    <w:abstractNumId w:val="3"/>
  </w:num>
  <w:num w:numId="7" w16cid:durableId="1643652130">
    <w:abstractNumId w:val="2"/>
  </w:num>
  <w:num w:numId="8" w16cid:durableId="601646632">
    <w:abstractNumId w:val="1"/>
  </w:num>
  <w:num w:numId="9" w16cid:durableId="1720780941">
    <w:abstractNumId w:val="0"/>
  </w:num>
  <w:num w:numId="10" w16cid:durableId="7324627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575"/>
    <w:rsid w:val="00293D0A"/>
    <w:rsid w:val="0029639D"/>
    <w:rsid w:val="00326F90"/>
    <w:rsid w:val="003A1D16"/>
    <w:rsid w:val="00636922"/>
    <w:rsid w:val="00674D11"/>
    <w:rsid w:val="00797C75"/>
    <w:rsid w:val="00856EA3"/>
    <w:rsid w:val="008E2210"/>
    <w:rsid w:val="00A81F14"/>
    <w:rsid w:val="00AA1D8D"/>
    <w:rsid w:val="00B47730"/>
    <w:rsid w:val="00BE136B"/>
    <w:rsid w:val="00CA2627"/>
    <w:rsid w:val="00CB0664"/>
    <w:rsid w:val="00DE1766"/>
    <w:rsid w:val="00E033E4"/>
    <w:rsid w:val="00E13299"/>
    <w:rsid w:val="00E95061"/>
    <w:rsid w:val="00F63D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362E0DE-406D-4432-880B-C1EFFB745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Woody Wiegmann</cp:lastModifiedBy>
  <cp:revision>15</cp:revision>
  <dcterms:created xsi:type="dcterms:W3CDTF">2013-12-23T23:15:00Z</dcterms:created>
  <dcterms:modified xsi:type="dcterms:W3CDTF">2026-02-26T17:51:00Z</dcterms:modified>
  <cp:category/>
</cp:coreProperties>
</file>