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1850D" w14:textId="77777777" w:rsidR="00DC22CB" w:rsidRDefault="00000000">
      <w:pPr>
        <w:jc w:val="center"/>
      </w:pPr>
      <w:r>
        <w:rPr>
          <w:b/>
          <w:color w:val="1F4E79"/>
          <w:sz w:val="36"/>
        </w:rPr>
        <w:t>International Tactical Fund</w:t>
      </w:r>
    </w:p>
    <w:p w14:paraId="3D9A006A" w14:textId="77777777" w:rsidR="00DC22CB" w:rsidRDefault="00000000">
      <w:pPr>
        <w:spacing w:after="120"/>
        <w:jc w:val="center"/>
        <w:rPr>
          <w:color w:val="505050"/>
          <w:sz w:val="24"/>
        </w:rPr>
      </w:pPr>
      <w:r>
        <w:rPr>
          <w:color w:val="505050"/>
          <w:sz w:val="24"/>
        </w:rPr>
        <w:t>How the Strategy Makes Trades</w:t>
      </w:r>
    </w:p>
    <w:p w14:paraId="1B169DD4" w14:textId="46D75232" w:rsidR="00560A3B" w:rsidRDefault="00560A3B">
      <w:pPr>
        <w:spacing w:after="120"/>
        <w:jc w:val="center"/>
      </w:pPr>
      <w:r>
        <w:rPr>
          <w:color w:val="505050"/>
          <w:sz w:val="24"/>
        </w:rPr>
        <w:t>Woody Wiegmann</w:t>
      </w:r>
    </w:p>
    <w:p w14:paraId="580EC14A" w14:textId="77777777" w:rsidR="00DC22CB" w:rsidRDefault="00000000">
      <w:pPr>
        <w:spacing w:before="80" w:after="40"/>
      </w:pPr>
      <w:r>
        <w:rPr>
          <w:b/>
          <w:color w:val="1F4E79"/>
          <w:sz w:val="24"/>
        </w:rPr>
        <w:t>What This Strategy Does</w:t>
      </w:r>
    </w:p>
    <w:p w14:paraId="491A2B78" w14:textId="77777777" w:rsidR="00DC22CB" w:rsidRDefault="00000000">
      <w:pPr>
        <w:spacing w:before="20" w:after="60"/>
      </w:pPr>
      <w:r>
        <w:t>This is a rules-based international equity strategy. Every month, it asks two questions: (1) Is the global environment healthy enough to be invested? and (2) Which international markets have the strongest momentum right now? Based on the answers, it either owns the top-performing international ETFs or steps aside into short-term Treasuries.</w:t>
      </w:r>
    </w:p>
    <w:p w14:paraId="0C02708A" w14:textId="77777777" w:rsidR="00DC22CB" w:rsidRDefault="00000000">
      <w:pPr>
        <w:spacing w:before="80" w:after="40"/>
      </w:pPr>
      <w:r>
        <w:rPr>
          <w:b/>
          <w:color w:val="1F4E79"/>
          <w:sz w:val="24"/>
        </w:rPr>
        <w:t>Step 1: The Investment Universe</w:t>
      </w:r>
    </w:p>
    <w:p w14:paraId="54A41EB8" w14:textId="77777777" w:rsidR="00DC22CB" w:rsidRDefault="00000000">
      <w:pPr>
        <w:spacing w:before="20" w:after="60"/>
      </w:pPr>
      <w:r>
        <w:t>The strategy selects from a universe of 40 international ETFs. These were chosen to provide broad geographic coverage while minimizing overlap. The universe is roughly 60% developed markets and 40% emerging markets, spanning single-country funds, thematic/commodity exposure, and regional baskets.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7488"/>
      </w:tblGrid>
      <w:tr w:rsidR="00DC22CB" w14:paraId="3FE24722" w14:textId="77777777">
        <w:trPr>
          <w:jc w:val="center"/>
        </w:trPr>
        <w:tc>
          <w:tcPr>
            <w:tcW w:w="2592" w:type="dxa"/>
            <w:shd w:val="clear" w:color="auto" w:fill="2C6E49"/>
          </w:tcPr>
          <w:p w14:paraId="373B68B6" w14:textId="77777777" w:rsidR="00DC22CB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w="7488" w:type="dxa"/>
            <w:shd w:val="clear" w:color="auto" w:fill="2C6E49"/>
          </w:tcPr>
          <w:p w14:paraId="7D2CEF39" w14:textId="77777777" w:rsidR="00DC22CB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ETFs</w:t>
            </w:r>
          </w:p>
        </w:tc>
      </w:tr>
      <w:tr w:rsidR="00DC22CB" w14:paraId="45A94567" w14:textId="77777777">
        <w:trPr>
          <w:jc w:val="center"/>
        </w:trPr>
        <w:tc>
          <w:tcPr>
            <w:tcW w:w="2592" w:type="dxa"/>
          </w:tcPr>
          <w:p w14:paraId="66CFACB4" w14:textId="77777777" w:rsidR="00DC22CB" w:rsidRDefault="00000000">
            <w:r>
              <w:rPr>
                <w:sz w:val="17"/>
              </w:rPr>
              <w:t>Developed Country (10)</w:t>
            </w:r>
          </w:p>
        </w:tc>
        <w:tc>
          <w:tcPr>
            <w:tcW w:w="7488" w:type="dxa"/>
          </w:tcPr>
          <w:p w14:paraId="48216EED" w14:textId="77777777" w:rsidR="00DC22CB" w:rsidRDefault="00000000">
            <w:r>
              <w:rPr>
                <w:sz w:val="17"/>
              </w:rPr>
              <w:t>EWJ (Japan), EWG (Germany), EWQ (France), EWI (Italy), EWD (Sweden), EWL (Switzerland), EWP (Spain), EWH (Hong Kong), EWS (Singapore), EDEN (Denmark)</w:t>
            </w:r>
          </w:p>
        </w:tc>
      </w:tr>
      <w:tr w:rsidR="00DC22CB" w14:paraId="6B0A97F3" w14:textId="77777777">
        <w:trPr>
          <w:jc w:val="center"/>
        </w:trPr>
        <w:tc>
          <w:tcPr>
            <w:tcW w:w="2592" w:type="dxa"/>
            <w:shd w:val="clear" w:color="auto" w:fill="EBF5FB"/>
          </w:tcPr>
          <w:p w14:paraId="09D848F4" w14:textId="77777777" w:rsidR="00DC22CB" w:rsidRDefault="00000000">
            <w:r>
              <w:rPr>
                <w:sz w:val="17"/>
              </w:rPr>
              <w:t>Developed Factor (1)</w:t>
            </w:r>
          </w:p>
        </w:tc>
        <w:tc>
          <w:tcPr>
            <w:tcW w:w="7488" w:type="dxa"/>
            <w:shd w:val="clear" w:color="auto" w:fill="EBF5FB"/>
          </w:tcPr>
          <w:p w14:paraId="49736586" w14:textId="77777777" w:rsidR="00DC22CB" w:rsidRDefault="00000000">
            <w:r>
              <w:rPr>
                <w:sz w:val="17"/>
              </w:rPr>
              <w:t>IHDG (Intl Hedged Quality Dividend Growth)</w:t>
            </w:r>
          </w:p>
        </w:tc>
      </w:tr>
      <w:tr w:rsidR="00DC22CB" w14:paraId="23887C97" w14:textId="77777777">
        <w:trPr>
          <w:jc w:val="center"/>
        </w:trPr>
        <w:tc>
          <w:tcPr>
            <w:tcW w:w="2592" w:type="dxa"/>
          </w:tcPr>
          <w:p w14:paraId="1074300E" w14:textId="77777777" w:rsidR="00DC22CB" w:rsidRDefault="00000000">
            <w:r>
              <w:rPr>
                <w:sz w:val="17"/>
              </w:rPr>
              <w:t>Developed Thematic (13)</w:t>
            </w:r>
          </w:p>
        </w:tc>
        <w:tc>
          <w:tcPr>
            <w:tcW w:w="7488" w:type="dxa"/>
          </w:tcPr>
          <w:p w14:paraId="5464366B" w14:textId="77777777" w:rsidR="00DC22CB" w:rsidRDefault="00000000">
            <w:r>
              <w:rPr>
                <w:sz w:val="17"/>
              </w:rPr>
              <w:t>RING, SIL, URA, KXI, LIT, REMX, COPX, PICK, GNR, CGW, GII, INFL, MOO</w:t>
            </w:r>
          </w:p>
        </w:tc>
      </w:tr>
      <w:tr w:rsidR="00DC22CB" w14:paraId="1502B401" w14:textId="77777777">
        <w:trPr>
          <w:jc w:val="center"/>
        </w:trPr>
        <w:tc>
          <w:tcPr>
            <w:tcW w:w="2592" w:type="dxa"/>
            <w:shd w:val="clear" w:color="auto" w:fill="EBF5FB"/>
          </w:tcPr>
          <w:p w14:paraId="46207EE7" w14:textId="77777777" w:rsidR="00DC22CB" w:rsidRDefault="00000000">
            <w:r>
              <w:rPr>
                <w:sz w:val="17"/>
              </w:rPr>
              <w:t>EM Country (14)</w:t>
            </w:r>
          </w:p>
        </w:tc>
        <w:tc>
          <w:tcPr>
            <w:tcW w:w="7488" w:type="dxa"/>
            <w:shd w:val="clear" w:color="auto" w:fill="EBF5FB"/>
          </w:tcPr>
          <w:p w14:paraId="67B139C9" w14:textId="77777777" w:rsidR="00DC22CB" w:rsidRDefault="00000000">
            <w:r>
              <w:rPr>
                <w:sz w:val="17"/>
              </w:rPr>
              <w:t>EWT, EWZ, INDA, FXI, EWY, EWW, ILF, ECH, TUR, ARGT, VNM, THD, EWM, EIDO</w:t>
            </w:r>
          </w:p>
        </w:tc>
      </w:tr>
      <w:tr w:rsidR="00DC22CB" w14:paraId="01D43187" w14:textId="77777777">
        <w:trPr>
          <w:jc w:val="center"/>
        </w:trPr>
        <w:tc>
          <w:tcPr>
            <w:tcW w:w="2592" w:type="dxa"/>
          </w:tcPr>
          <w:p w14:paraId="23C057FE" w14:textId="77777777" w:rsidR="00DC22CB" w:rsidRDefault="00000000">
            <w:r>
              <w:rPr>
                <w:sz w:val="17"/>
              </w:rPr>
              <w:t>EM Broad (2)</w:t>
            </w:r>
          </w:p>
        </w:tc>
        <w:tc>
          <w:tcPr>
            <w:tcW w:w="7488" w:type="dxa"/>
          </w:tcPr>
          <w:p w14:paraId="24FC65A5" w14:textId="77777777" w:rsidR="00DC22CB" w:rsidRDefault="00000000">
            <w:r>
              <w:rPr>
                <w:sz w:val="17"/>
              </w:rPr>
              <w:t>KSA (Saudi Arabia), KWEB (China Internet)</w:t>
            </w:r>
          </w:p>
        </w:tc>
      </w:tr>
    </w:tbl>
    <w:p w14:paraId="447CBF91" w14:textId="77777777" w:rsidR="00DC22CB" w:rsidRDefault="00000000">
      <w:pPr>
        <w:spacing w:before="80" w:after="40"/>
      </w:pPr>
      <w:r>
        <w:rPr>
          <w:b/>
          <w:color w:val="1F4E79"/>
          <w:sz w:val="24"/>
        </w:rPr>
        <w:t>Step 2: Check the Macro Environment (Monthly)</w:t>
      </w:r>
    </w:p>
    <w:p w14:paraId="00CDE803" w14:textId="77777777" w:rsidR="00DC22CB" w:rsidRDefault="00000000">
      <w:pPr>
        <w:spacing w:before="20" w:after="60"/>
      </w:pPr>
      <w:r>
        <w:t>Before ranking any ETFs, the strategy checks two independent macro signals to determine whether it is safe to be invested at all.</w:t>
      </w:r>
    </w:p>
    <w:p w14:paraId="764A6665" w14:textId="77777777" w:rsidR="00DC22CB" w:rsidRDefault="00000000">
      <w:pPr>
        <w:spacing w:before="20" w:after="60"/>
      </w:pPr>
      <w:r>
        <w:rPr>
          <w:b/>
        </w:rPr>
        <w:t>Signal A -- Global Breadth</w:t>
      </w:r>
    </w:p>
    <w:p w14:paraId="1F473073" w14:textId="77777777" w:rsidR="00DC22CB" w:rsidRDefault="00000000">
      <w:pPr>
        <w:spacing w:before="20" w:after="60"/>
      </w:pPr>
      <w:r>
        <w:t>Count how many of the 31 MSCI single-country ETFs (iShares) are trading above their 200-day simple moving average. If 60% or more are above, breadth is positive. This measures how widespread the global equity rally is -- when most countries are in uptrends, the environment favors risk assets.</w:t>
      </w:r>
    </w:p>
    <w:p w14:paraId="091A5F42" w14:textId="77777777" w:rsidR="00DC22CB" w:rsidRDefault="00000000">
      <w:pPr>
        <w:spacing w:before="20" w:after="60"/>
      </w:pPr>
      <w:r>
        <w:rPr>
          <w:b/>
        </w:rPr>
        <w:t>Signal B -- Ex-US Market Trend</w:t>
      </w:r>
    </w:p>
    <w:p w14:paraId="53C51249" w14:textId="77777777" w:rsidR="00DC22CB" w:rsidRDefault="00000000">
      <w:pPr>
        <w:spacing w:before="20" w:after="60"/>
      </w:pPr>
      <w:r>
        <w:t>Check whether ACWX (iShares MSCI ACWI ex-US) is trading above its own 200-day simple moving average. This is a single, broad read on whether international equities as a whole are in an uptrend.</w:t>
      </w:r>
    </w:p>
    <w:p w14:paraId="4A5B53E9" w14:textId="77777777" w:rsidR="00DC22CB" w:rsidRDefault="00000000">
      <w:pPr>
        <w:spacing w:before="20" w:after="60"/>
      </w:pPr>
      <w:r>
        <w:rPr>
          <w:b/>
        </w:rPr>
        <w:t>The Decision Rule</w:t>
      </w:r>
    </w:p>
    <w:p w14:paraId="2CAEDFDF" w14:textId="77777777" w:rsidR="00DC22CB" w:rsidRDefault="00000000">
      <w:pPr>
        <w:spacing w:before="20" w:after="60"/>
      </w:pPr>
      <w:r>
        <w:t>If EITHER signal is positive, the strategy stays invested and proceeds to the momentum ranking step below. It goes to 100% cash (BIL -- SPDR Bloomberg 1-3 Month T-Bill ETF) ONLY if BOTH signals are negative. This "OR gate" design avoids whipsaws: a single positive signal is enough to stay in the market.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32"/>
        <w:gridCol w:w="2160"/>
        <w:gridCol w:w="3888"/>
      </w:tblGrid>
      <w:tr w:rsidR="00DC22CB" w14:paraId="45FF0CBD" w14:textId="77777777">
        <w:trPr>
          <w:jc w:val="center"/>
        </w:trPr>
        <w:tc>
          <w:tcPr>
            <w:tcW w:w="4032" w:type="dxa"/>
            <w:shd w:val="clear" w:color="auto" w:fill="8B0000"/>
          </w:tcPr>
          <w:p w14:paraId="4BCF39C4" w14:textId="77777777" w:rsidR="00DC22CB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Condition</w:t>
            </w:r>
          </w:p>
        </w:tc>
        <w:tc>
          <w:tcPr>
            <w:tcW w:w="2160" w:type="dxa"/>
            <w:shd w:val="clear" w:color="auto" w:fill="8B0000"/>
          </w:tcPr>
          <w:p w14:paraId="67E7E02E" w14:textId="77777777" w:rsidR="00DC22CB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w="3888" w:type="dxa"/>
            <w:shd w:val="clear" w:color="auto" w:fill="8B0000"/>
          </w:tcPr>
          <w:p w14:paraId="45902598" w14:textId="77777777" w:rsidR="00DC22CB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Rationale</w:t>
            </w:r>
          </w:p>
        </w:tc>
      </w:tr>
      <w:tr w:rsidR="00DC22CB" w14:paraId="409A5ABF" w14:textId="77777777">
        <w:trPr>
          <w:jc w:val="center"/>
        </w:trPr>
        <w:tc>
          <w:tcPr>
            <w:tcW w:w="4032" w:type="dxa"/>
          </w:tcPr>
          <w:p w14:paraId="6498844D" w14:textId="77777777" w:rsidR="00DC22CB" w:rsidRDefault="00000000">
            <w:r>
              <w:rPr>
                <w:sz w:val="17"/>
              </w:rPr>
              <w:t>Breadth &gt;= 60% AND ACWX &gt; 200d SMA</w:t>
            </w:r>
          </w:p>
        </w:tc>
        <w:tc>
          <w:tcPr>
            <w:tcW w:w="2160" w:type="dxa"/>
          </w:tcPr>
          <w:p w14:paraId="4A186F6A" w14:textId="77777777" w:rsidR="00DC22CB" w:rsidRDefault="00000000">
            <w:r>
              <w:rPr>
                <w:sz w:val="17"/>
              </w:rPr>
              <w:t>INVESTED</w:t>
            </w:r>
          </w:p>
        </w:tc>
        <w:tc>
          <w:tcPr>
            <w:tcW w:w="3888" w:type="dxa"/>
          </w:tcPr>
          <w:p w14:paraId="26770F80" w14:textId="77777777" w:rsidR="00DC22CB" w:rsidRDefault="00000000">
            <w:r>
              <w:rPr>
                <w:sz w:val="17"/>
              </w:rPr>
              <w:t>Both signals confirm -- full risk-on</w:t>
            </w:r>
          </w:p>
        </w:tc>
      </w:tr>
      <w:tr w:rsidR="00DC22CB" w14:paraId="012ACC08" w14:textId="77777777">
        <w:trPr>
          <w:jc w:val="center"/>
        </w:trPr>
        <w:tc>
          <w:tcPr>
            <w:tcW w:w="4032" w:type="dxa"/>
            <w:shd w:val="clear" w:color="auto" w:fill="EBF5FB"/>
          </w:tcPr>
          <w:p w14:paraId="7C982288" w14:textId="77777777" w:rsidR="00DC22CB" w:rsidRDefault="00000000">
            <w:r>
              <w:rPr>
                <w:sz w:val="17"/>
              </w:rPr>
              <w:t>Breadth &gt;= 60% BUT ACWX &lt; 200d SMA</w:t>
            </w:r>
          </w:p>
        </w:tc>
        <w:tc>
          <w:tcPr>
            <w:tcW w:w="2160" w:type="dxa"/>
            <w:shd w:val="clear" w:color="auto" w:fill="EBF5FB"/>
          </w:tcPr>
          <w:p w14:paraId="7371B0BE" w14:textId="77777777" w:rsidR="00DC22CB" w:rsidRDefault="00000000">
            <w:r>
              <w:rPr>
                <w:sz w:val="17"/>
              </w:rPr>
              <w:t>INVESTED</w:t>
            </w:r>
          </w:p>
        </w:tc>
        <w:tc>
          <w:tcPr>
            <w:tcW w:w="3888" w:type="dxa"/>
            <w:shd w:val="clear" w:color="auto" w:fill="EBF5FB"/>
          </w:tcPr>
          <w:p w14:paraId="6B96543E" w14:textId="77777777" w:rsidR="00DC22CB" w:rsidRDefault="00000000">
            <w:r>
              <w:rPr>
                <w:sz w:val="17"/>
              </w:rPr>
              <w:t>Breadth alone keeps the portfolio invested</w:t>
            </w:r>
          </w:p>
        </w:tc>
      </w:tr>
      <w:tr w:rsidR="00DC22CB" w14:paraId="0819BDAF" w14:textId="77777777">
        <w:trPr>
          <w:jc w:val="center"/>
        </w:trPr>
        <w:tc>
          <w:tcPr>
            <w:tcW w:w="4032" w:type="dxa"/>
          </w:tcPr>
          <w:p w14:paraId="61E20BF9" w14:textId="77777777" w:rsidR="00DC22CB" w:rsidRDefault="00000000">
            <w:r>
              <w:rPr>
                <w:sz w:val="17"/>
              </w:rPr>
              <w:t>Breadth &lt; 60% BUT ACWX &gt; 200d SMA</w:t>
            </w:r>
          </w:p>
        </w:tc>
        <w:tc>
          <w:tcPr>
            <w:tcW w:w="2160" w:type="dxa"/>
          </w:tcPr>
          <w:p w14:paraId="37F22AB9" w14:textId="77777777" w:rsidR="00DC22CB" w:rsidRDefault="00000000">
            <w:r>
              <w:rPr>
                <w:sz w:val="17"/>
              </w:rPr>
              <w:t>INVESTED</w:t>
            </w:r>
          </w:p>
        </w:tc>
        <w:tc>
          <w:tcPr>
            <w:tcW w:w="3888" w:type="dxa"/>
          </w:tcPr>
          <w:p w14:paraId="605DC349" w14:textId="77777777" w:rsidR="00DC22CB" w:rsidRDefault="00000000">
            <w:r>
              <w:rPr>
                <w:sz w:val="17"/>
              </w:rPr>
              <w:t>Trend alone keeps the portfolio invested</w:t>
            </w:r>
          </w:p>
        </w:tc>
      </w:tr>
      <w:tr w:rsidR="00DC22CB" w14:paraId="502B1049" w14:textId="77777777">
        <w:trPr>
          <w:jc w:val="center"/>
        </w:trPr>
        <w:tc>
          <w:tcPr>
            <w:tcW w:w="4032" w:type="dxa"/>
            <w:shd w:val="clear" w:color="auto" w:fill="EBF5FB"/>
          </w:tcPr>
          <w:p w14:paraId="5E8EA735" w14:textId="77777777" w:rsidR="00DC22CB" w:rsidRDefault="00000000">
            <w:r>
              <w:rPr>
                <w:sz w:val="17"/>
              </w:rPr>
              <w:t>Breadth &lt; 60% AND ACWX &lt; 200d SMA</w:t>
            </w:r>
          </w:p>
        </w:tc>
        <w:tc>
          <w:tcPr>
            <w:tcW w:w="2160" w:type="dxa"/>
            <w:shd w:val="clear" w:color="auto" w:fill="EBF5FB"/>
          </w:tcPr>
          <w:p w14:paraId="21B184C8" w14:textId="77777777" w:rsidR="00DC22CB" w:rsidRDefault="00000000">
            <w:r>
              <w:rPr>
                <w:sz w:val="17"/>
              </w:rPr>
              <w:t>100% CASH (BIL)</w:t>
            </w:r>
          </w:p>
        </w:tc>
        <w:tc>
          <w:tcPr>
            <w:tcW w:w="3888" w:type="dxa"/>
            <w:shd w:val="clear" w:color="auto" w:fill="EBF5FB"/>
          </w:tcPr>
          <w:p w14:paraId="323FAF0B" w14:textId="77777777" w:rsidR="00DC22CB" w:rsidRDefault="00000000">
            <w:r>
              <w:rPr>
                <w:sz w:val="17"/>
              </w:rPr>
              <w:t>Both signals negative -- exit to T-Bills</w:t>
            </w:r>
          </w:p>
        </w:tc>
      </w:tr>
    </w:tbl>
    <w:p w14:paraId="1F1CB1D0" w14:textId="77777777" w:rsidR="00DC22CB" w:rsidRDefault="00000000">
      <w:pPr>
        <w:spacing w:before="80" w:after="40"/>
      </w:pPr>
      <w:r>
        <w:rPr>
          <w:b/>
          <w:color w:val="1F4E79"/>
          <w:sz w:val="24"/>
        </w:rPr>
        <w:t>Step 3: Rank by Blended Momentum</w:t>
      </w:r>
    </w:p>
    <w:p w14:paraId="2ADE449E" w14:textId="77777777" w:rsidR="00DC22CB" w:rsidRDefault="00000000">
      <w:pPr>
        <w:spacing w:before="20" w:after="60"/>
      </w:pPr>
      <w:r>
        <w:t>If the macro overlay is positive, the strategy scores all 40 ETFs using a blended momentum signal. For each ETF, it calculates four trailing total returns: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5760"/>
      </w:tblGrid>
      <w:tr w:rsidR="00DC22CB" w14:paraId="77C239E4" w14:textId="77777777">
        <w:trPr>
          <w:jc w:val="center"/>
        </w:trPr>
        <w:tc>
          <w:tcPr>
            <w:tcW w:w="2160" w:type="dxa"/>
            <w:shd w:val="clear" w:color="auto" w:fill="1F4E79"/>
          </w:tcPr>
          <w:p w14:paraId="2BFB22E3" w14:textId="77777777" w:rsidR="00DC22CB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Lookback</w:t>
            </w:r>
          </w:p>
        </w:tc>
        <w:tc>
          <w:tcPr>
            <w:tcW w:w="2160" w:type="dxa"/>
            <w:shd w:val="clear" w:color="auto" w:fill="1F4E79"/>
          </w:tcPr>
          <w:p w14:paraId="5C762EDD" w14:textId="77777777" w:rsidR="00DC22CB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Window</w:t>
            </w:r>
          </w:p>
        </w:tc>
        <w:tc>
          <w:tcPr>
            <w:tcW w:w="5760" w:type="dxa"/>
            <w:shd w:val="clear" w:color="auto" w:fill="1F4E79"/>
          </w:tcPr>
          <w:p w14:paraId="3CF0AA4E" w14:textId="77777777" w:rsidR="00DC22CB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 w:rsidR="00DC22CB" w14:paraId="71FD0820" w14:textId="77777777">
        <w:trPr>
          <w:jc w:val="center"/>
        </w:trPr>
        <w:tc>
          <w:tcPr>
            <w:tcW w:w="2160" w:type="dxa"/>
          </w:tcPr>
          <w:p w14:paraId="7133CB93" w14:textId="77777777" w:rsidR="00DC22CB" w:rsidRDefault="00000000">
            <w:r>
              <w:rPr>
                <w:sz w:val="17"/>
              </w:rPr>
              <w:t>1-month return</w:t>
            </w:r>
          </w:p>
        </w:tc>
        <w:tc>
          <w:tcPr>
            <w:tcW w:w="2160" w:type="dxa"/>
          </w:tcPr>
          <w:p w14:paraId="6B15A808" w14:textId="77777777" w:rsidR="00DC22CB" w:rsidRDefault="00000000">
            <w:r>
              <w:rPr>
                <w:sz w:val="17"/>
              </w:rPr>
              <w:t>~21 trading days</w:t>
            </w:r>
          </w:p>
        </w:tc>
        <w:tc>
          <w:tcPr>
            <w:tcW w:w="5760" w:type="dxa"/>
          </w:tcPr>
          <w:p w14:paraId="38DC2ED2" w14:textId="77777777" w:rsidR="00DC22CB" w:rsidRDefault="00000000">
            <w:r>
              <w:rPr>
                <w:sz w:val="17"/>
              </w:rPr>
              <w:t>Captures recent acceleration</w:t>
            </w:r>
          </w:p>
        </w:tc>
      </w:tr>
      <w:tr w:rsidR="00DC22CB" w14:paraId="075A0C6D" w14:textId="77777777">
        <w:trPr>
          <w:jc w:val="center"/>
        </w:trPr>
        <w:tc>
          <w:tcPr>
            <w:tcW w:w="2160" w:type="dxa"/>
            <w:shd w:val="clear" w:color="auto" w:fill="EBF5FB"/>
          </w:tcPr>
          <w:p w14:paraId="132DABAA" w14:textId="77777777" w:rsidR="00DC22CB" w:rsidRDefault="00000000">
            <w:r>
              <w:rPr>
                <w:sz w:val="17"/>
              </w:rPr>
              <w:t>3-month return</w:t>
            </w:r>
          </w:p>
        </w:tc>
        <w:tc>
          <w:tcPr>
            <w:tcW w:w="2160" w:type="dxa"/>
            <w:shd w:val="clear" w:color="auto" w:fill="EBF5FB"/>
          </w:tcPr>
          <w:p w14:paraId="5A1F4BEF" w14:textId="77777777" w:rsidR="00DC22CB" w:rsidRDefault="00000000">
            <w:r>
              <w:rPr>
                <w:sz w:val="17"/>
              </w:rPr>
              <w:t>~63 trading days</w:t>
            </w:r>
          </w:p>
        </w:tc>
        <w:tc>
          <w:tcPr>
            <w:tcW w:w="5760" w:type="dxa"/>
            <w:shd w:val="clear" w:color="auto" w:fill="EBF5FB"/>
          </w:tcPr>
          <w:p w14:paraId="7DB0EBFC" w14:textId="77777777" w:rsidR="00DC22CB" w:rsidRDefault="00000000">
            <w:r>
              <w:rPr>
                <w:sz w:val="17"/>
              </w:rPr>
              <w:t>Short-term trend</w:t>
            </w:r>
          </w:p>
        </w:tc>
      </w:tr>
      <w:tr w:rsidR="00DC22CB" w14:paraId="68F789C3" w14:textId="77777777">
        <w:trPr>
          <w:jc w:val="center"/>
        </w:trPr>
        <w:tc>
          <w:tcPr>
            <w:tcW w:w="2160" w:type="dxa"/>
          </w:tcPr>
          <w:p w14:paraId="249B580A" w14:textId="77777777" w:rsidR="00DC22CB" w:rsidRDefault="00000000">
            <w:r>
              <w:rPr>
                <w:sz w:val="17"/>
              </w:rPr>
              <w:t>6-month return</w:t>
            </w:r>
          </w:p>
        </w:tc>
        <w:tc>
          <w:tcPr>
            <w:tcW w:w="2160" w:type="dxa"/>
          </w:tcPr>
          <w:p w14:paraId="768D3213" w14:textId="77777777" w:rsidR="00DC22CB" w:rsidRDefault="00000000">
            <w:r>
              <w:rPr>
                <w:sz w:val="17"/>
              </w:rPr>
              <w:t>~126 trading days</w:t>
            </w:r>
          </w:p>
        </w:tc>
        <w:tc>
          <w:tcPr>
            <w:tcW w:w="5760" w:type="dxa"/>
          </w:tcPr>
          <w:p w14:paraId="21C6F6D2" w14:textId="77777777" w:rsidR="00DC22CB" w:rsidRDefault="00000000">
            <w:r>
              <w:rPr>
                <w:sz w:val="17"/>
              </w:rPr>
              <w:t>Medium-term trend</w:t>
            </w:r>
          </w:p>
        </w:tc>
      </w:tr>
      <w:tr w:rsidR="00DC22CB" w14:paraId="655C8395" w14:textId="77777777">
        <w:trPr>
          <w:jc w:val="center"/>
        </w:trPr>
        <w:tc>
          <w:tcPr>
            <w:tcW w:w="2160" w:type="dxa"/>
            <w:shd w:val="clear" w:color="auto" w:fill="EBF5FB"/>
          </w:tcPr>
          <w:p w14:paraId="7B6CF5DF" w14:textId="77777777" w:rsidR="00DC22CB" w:rsidRDefault="00000000">
            <w:r>
              <w:rPr>
                <w:sz w:val="17"/>
              </w:rPr>
              <w:t>12-month return</w:t>
            </w:r>
          </w:p>
        </w:tc>
        <w:tc>
          <w:tcPr>
            <w:tcW w:w="2160" w:type="dxa"/>
            <w:shd w:val="clear" w:color="auto" w:fill="EBF5FB"/>
          </w:tcPr>
          <w:p w14:paraId="1E216BC4" w14:textId="77777777" w:rsidR="00DC22CB" w:rsidRDefault="00000000">
            <w:r>
              <w:rPr>
                <w:sz w:val="17"/>
              </w:rPr>
              <w:t>~252 trading days</w:t>
            </w:r>
          </w:p>
        </w:tc>
        <w:tc>
          <w:tcPr>
            <w:tcW w:w="5760" w:type="dxa"/>
            <w:shd w:val="clear" w:color="auto" w:fill="EBF5FB"/>
          </w:tcPr>
          <w:p w14:paraId="03300C82" w14:textId="77777777" w:rsidR="00DC22CB" w:rsidRDefault="00000000">
            <w:r>
              <w:rPr>
                <w:sz w:val="17"/>
              </w:rPr>
              <w:t>Long-term trend</w:t>
            </w:r>
          </w:p>
        </w:tc>
      </w:tr>
    </w:tbl>
    <w:p w14:paraId="2930D95A" w14:textId="77777777" w:rsidR="00DC22CB" w:rsidRDefault="00000000">
      <w:pPr>
        <w:spacing w:before="20" w:after="60"/>
      </w:pPr>
      <w:r>
        <w:t>The composite momentum score is the simple average of these four returns. This blended approach avoids over-reliance on any single lookback period and smooths out noise.</w:t>
      </w:r>
    </w:p>
    <w:p w14:paraId="520F2397" w14:textId="77777777" w:rsidR="00DC22CB" w:rsidRDefault="00000000">
      <w:pPr>
        <w:spacing w:before="80" w:after="40"/>
      </w:pPr>
      <w:r>
        <w:rPr>
          <w:b/>
          <w:color w:val="1F4E79"/>
          <w:sz w:val="24"/>
        </w:rPr>
        <w:t>Step 4: Build the Portfolio</w:t>
      </w:r>
    </w:p>
    <w:p w14:paraId="29D54627" w14:textId="77777777" w:rsidR="00DC22CB" w:rsidRDefault="00000000">
      <w:pPr>
        <w:spacing w:before="20" w:after="60"/>
      </w:pPr>
      <w:r>
        <w:t>The 40 ETFs are ranked by composite momentum score from highest to lowest. The strategy then applies two filters:</w:t>
      </w:r>
    </w:p>
    <w:p w14:paraId="75F10807" w14:textId="77777777" w:rsidR="00DC22CB" w:rsidRDefault="00000000">
      <w:pPr>
        <w:spacing w:before="20" w:after="60"/>
      </w:pPr>
      <w:r>
        <w:lastRenderedPageBreak/>
        <w:t>1. Relative momentum: Select the top 7 ETFs by score.</w:t>
      </w:r>
      <w:r>
        <w:br/>
        <w:t>2. Absolute momentum: Each of those 7 must have a positive composite score (i.e., its blended return must be greater than zero). Any ETF with a negative score is replaced with BIL.</w:t>
      </w:r>
    </w:p>
    <w:p w14:paraId="3ACDE7C9" w14:textId="77777777" w:rsidR="00DC22CB" w:rsidRDefault="00000000">
      <w:pPr>
        <w:spacing w:before="20" w:after="60"/>
      </w:pPr>
      <w:r>
        <w:t>The 7 slots are equal-weighted at approximately 14.3% each. If, say, only 5 of the top 7 have positive scores, the portfolio holds those 5 ETFs at 14.3% each and allocates the remaining 2 slots (28.6%) to BIL.</w:t>
      </w:r>
    </w:p>
    <w:p w14:paraId="0841CB96" w14:textId="77777777" w:rsidR="00DC22CB" w:rsidRDefault="00000000">
      <w:pPr>
        <w:spacing w:before="20" w:after="60"/>
      </w:pPr>
      <w:r>
        <w:rPr>
          <w:b/>
          <w:i/>
        </w:rPr>
        <w:t>Example month:</w:t>
      </w:r>
    </w:p>
    <w:p w14:paraId="5F2BEA7E" w14:textId="77777777" w:rsidR="00DC22CB" w:rsidRDefault="00000000">
      <w:pPr>
        <w:spacing w:before="20" w:after="60"/>
      </w:pPr>
      <w:r>
        <w:t>Top 7 by score: INDA (+8.2%), TUR (+7.1%), ARGT (+5.9%), COPX (+4.3%), EWZ (+2.1%), EWJ (+0.4%), SIL (-1.2%). SIL has a negative composite score, so the portfolio holds 6 ETFs at 14.3% each and BIL at 14.3%. Total equity exposure: ~85.7%.</w:t>
      </w:r>
    </w:p>
    <w:p w14:paraId="32CFDC09" w14:textId="77777777" w:rsidR="00DC22CB" w:rsidRDefault="00000000">
      <w:pPr>
        <w:spacing w:before="80" w:after="40"/>
      </w:pPr>
      <w:r>
        <w:rPr>
          <w:b/>
          <w:color w:val="1F4E79"/>
          <w:sz w:val="24"/>
        </w:rPr>
        <w:t>Step 5: Rebalance</w:t>
      </w:r>
    </w:p>
    <w:p w14:paraId="6B390D33" w14:textId="77777777" w:rsidR="00DC22CB" w:rsidRDefault="00000000">
      <w:pPr>
        <w:spacing w:before="20" w:after="60"/>
      </w:pPr>
      <w:r>
        <w:t>The entire process runs once per month on the last trading day, 30 minutes before market close. The strategy re-checks both macro signals, re-scores all 40 ETFs, and adjusts holdings accordingly. Positions are only traded if the weight difference exceeds 2% to minimize unnecessary turnover.</w:t>
      </w:r>
    </w:p>
    <w:p w14:paraId="06BC45C2" w14:textId="77777777" w:rsidR="00DC22CB" w:rsidRDefault="00000000">
      <w:pPr>
        <w:spacing w:before="80" w:after="40"/>
      </w:pPr>
      <w:r>
        <w:rPr>
          <w:b/>
          <w:color w:val="1F4E79"/>
          <w:sz w:val="24"/>
        </w:rPr>
        <w:t>Decision Flow Summary</w:t>
      </w:r>
    </w:p>
    <w:p w14:paraId="7FCCCA10" w14:textId="77777777" w:rsidR="00DC22CB" w:rsidRDefault="00000000">
      <w:pPr>
        <w:spacing w:before="20" w:after="60"/>
      </w:pPr>
      <w:r>
        <w:t>Each month, the logic follows this sequence:</w:t>
      </w:r>
      <w:r>
        <w:br/>
      </w:r>
      <w:r>
        <w:br/>
        <w:t xml:space="preserve">  1. Calculate global breadth (% of 31 MSCI country ETFs above 200d SMA)</w:t>
      </w:r>
      <w:r>
        <w:br/>
        <w:t xml:space="preserve">  2. Check ACWX trend (above/below its 200d SMA)</w:t>
      </w:r>
      <w:r>
        <w:br/>
        <w:t xml:space="preserve">  3. If BOTH are negative --&gt; sell everything, hold 100% BIL</w:t>
      </w:r>
      <w:r>
        <w:br/>
        <w:t xml:space="preserve">  4. If EITHER is positive --&gt; proceed to momentum ranking</w:t>
      </w:r>
      <w:r>
        <w:br/>
        <w:t xml:space="preserve">  5. Score all 40 ETFs using blended momentum (avg of 1m/3m/6m/12m returns)</w:t>
      </w:r>
      <w:r>
        <w:br/>
        <w:t xml:space="preserve">  6. Select top 7 by score</w:t>
      </w:r>
      <w:r>
        <w:br/>
        <w:t xml:space="preserve">  7. Drop any with negative composite score; replace with BIL</w:t>
      </w:r>
      <w:r>
        <w:br/>
        <w:t xml:space="preserve">  8. Equal-weight the 7 slots (~14.3% each)</w:t>
      </w:r>
      <w:r>
        <w:br/>
        <w:t xml:space="preserve">  9. Hold until next month-end rebalance</w:t>
      </w:r>
    </w:p>
    <w:p w14:paraId="6E70B68E" w14:textId="77777777" w:rsidR="00DC22CB" w:rsidRDefault="00000000">
      <w:pPr>
        <w:spacing w:before="80" w:after="40"/>
      </w:pPr>
      <w:r>
        <w:rPr>
          <w:b/>
          <w:color w:val="1F4E79"/>
          <w:sz w:val="22"/>
        </w:rPr>
        <w:t>Backtest Results (Jan 2016 - Feb 2026)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2160"/>
      </w:tblGrid>
      <w:tr w:rsidR="00DC22CB" w14:paraId="020AF82A" w14:textId="77777777">
        <w:trPr>
          <w:jc w:val="center"/>
        </w:trPr>
        <w:tc>
          <w:tcPr>
            <w:tcW w:w="3600" w:type="dxa"/>
            <w:shd w:val="clear" w:color="auto" w:fill="1F4E79"/>
          </w:tcPr>
          <w:p w14:paraId="75185168" w14:textId="77777777" w:rsidR="00DC22CB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w="2160" w:type="dxa"/>
            <w:shd w:val="clear" w:color="auto" w:fill="1F4E79"/>
          </w:tcPr>
          <w:p w14:paraId="40F7EB4E" w14:textId="77777777" w:rsidR="00DC22CB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Value</w:t>
            </w:r>
          </w:p>
        </w:tc>
      </w:tr>
      <w:tr w:rsidR="00DC22CB" w14:paraId="4644B109" w14:textId="77777777">
        <w:trPr>
          <w:jc w:val="center"/>
        </w:trPr>
        <w:tc>
          <w:tcPr>
            <w:tcW w:w="3600" w:type="dxa"/>
          </w:tcPr>
          <w:p w14:paraId="79DF1B27" w14:textId="77777777" w:rsidR="00DC22CB" w:rsidRDefault="00000000">
            <w:r>
              <w:rPr>
                <w:sz w:val="17"/>
              </w:rPr>
              <w:t>CAGR</w:t>
            </w:r>
          </w:p>
        </w:tc>
        <w:tc>
          <w:tcPr>
            <w:tcW w:w="2160" w:type="dxa"/>
          </w:tcPr>
          <w:p w14:paraId="7F219456" w14:textId="77777777" w:rsidR="00DC22CB" w:rsidRDefault="00000000">
            <w:r>
              <w:rPr>
                <w:sz w:val="17"/>
              </w:rPr>
              <w:t>12.2%</w:t>
            </w:r>
          </w:p>
        </w:tc>
      </w:tr>
      <w:tr w:rsidR="00DC22CB" w14:paraId="47BA14AC" w14:textId="77777777">
        <w:trPr>
          <w:jc w:val="center"/>
        </w:trPr>
        <w:tc>
          <w:tcPr>
            <w:tcW w:w="3600" w:type="dxa"/>
            <w:shd w:val="clear" w:color="auto" w:fill="EBF5FB"/>
          </w:tcPr>
          <w:p w14:paraId="5448819B" w14:textId="77777777" w:rsidR="00DC22CB" w:rsidRDefault="00000000">
            <w:r>
              <w:rPr>
                <w:sz w:val="17"/>
              </w:rPr>
              <w:t>Total Return</w:t>
            </w:r>
          </w:p>
        </w:tc>
        <w:tc>
          <w:tcPr>
            <w:tcW w:w="2160" w:type="dxa"/>
            <w:shd w:val="clear" w:color="auto" w:fill="EBF5FB"/>
          </w:tcPr>
          <w:p w14:paraId="7CA10141" w14:textId="77777777" w:rsidR="00DC22CB" w:rsidRDefault="00000000">
            <w:r>
              <w:rPr>
                <w:sz w:val="17"/>
              </w:rPr>
              <w:t>222.4%</w:t>
            </w:r>
          </w:p>
        </w:tc>
      </w:tr>
      <w:tr w:rsidR="00DC22CB" w14:paraId="67DAC2F2" w14:textId="77777777">
        <w:trPr>
          <w:jc w:val="center"/>
        </w:trPr>
        <w:tc>
          <w:tcPr>
            <w:tcW w:w="3600" w:type="dxa"/>
          </w:tcPr>
          <w:p w14:paraId="48B7E047" w14:textId="77777777" w:rsidR="00DC22CB" w:rsidRDefault="00000000">
            <w:r>
              <w:rPr>
                <w:sz w:val="17"/>
              </w:rPr>
              <w:t>Max Drawdown</w:t>
            </w:r>
          </w:p>
        </w:tc>
        <w:tc>
          <w:tcPr>
            <w:tcW w:w="2160" w:type="dxa"/>
          </w:tcPr>
          <w:p w14:paraId="5123DCCF" w14:textId="77777777" w:rsidR="00DC22CB" w:rsidRDefault="00000000">
            <w:r>
              <w:rPr>
                <w:sz w:val="17"/>
              </w:rPr>
              <w:t>21.8%</w:t>
            </w:r>
          </w:p>
        </w:tc>
      </w:tr>
      <w:tr w:rsidR="00DC22CB" w14:paraId="391F2CE6" w14:textId="77777777">
        <w:trPr>
          <w:jc w:val="center"/>
        </w:trPr>
        <w:tc>
          <w:tcPr>
            <w:tcW w:w="3600" w:type="dxa"/>
            <w:shd w:val="clear" w:color="auto" w:fill="EBF5FB"/>
          </w:tcPr>
          <w:p w14:paraId="4E759E45" w14:textId="77777777" w:rsidR="00DC22CB" w:rsidRDefault="00000000">
            <w:r>
              <w:rPr>
                <w:sz w:val="17"/>
              </w:rPr>
              <w:t>Sharpe Ratio</w:t>
            </w:r>
          </w:p>
        </w:tc>
        <w:tc>
          <w:tcPr>
            <w:tcW w:w="2160" w:type="dxa"/>
            <w:shd w:val="clear" w:color="auto" w:fill="EBF5FB"/>
          </w:tcPr>
          <w:p w14:paraId="1145AD89" w14:textId="77777777" w:rsidR="00DC22CB" w:rsidRDefault="00000000">
            <w:r>
              <w:rPr>
                <w:sz w:val="17"/>
              </w:rPr>
              <w:t>0.511</w:t>
            </w:r>
          </w:p>
        </w:tc>
      </w:tr>
      <w:tr w:rsidR="00DC22CB" w14:paraId="1C99EBB1" w14:textId="77777777">
        <w:trPr>
          <w:jc w:val="center"/>
        </w:trPr>
        <w:tc>
          <w:tcPr>
            <w:tcW w:w="3600" w:type="dxa"/>
          </w:tcPr>
          <w:p w14:paraId="7C0A3C02" w14:textId="77777777" w:rsidR="00DC22CB" w:rsidRDefault="00000000">
            <w:r>
              <w:rPr>
                <w:sz w:val="17"/>
              </w:rPr>
              <w:t>Sortino Ratio</w:t>
            </w:r>
          </w:p>
        </w:tc>
        <w:tc>
          <w:tcPr>
            <w:tcW w:w="2160" w:type="dxa"/>
          </w:tcPr>
          <w:p w14:paraId="2FAD0B5E" w14:textId="77777777" w:rsidR="00DC22CB" w:rsidRDefault="00000000">
            <w:r>
              <w:rPr>
                <w:sz w:val="17"/>
              </w:rPr>
              <w:t>0.450</w:t>
            </w:r>
          </w:p>
        </w:tc>
      </w:tr>
      <w:tr w:rsidR="00DC22CB" w14:paraId="6D4DC59E" w14:textId="77777777">
        <w:trPr>
          <w:jc w:val="center"/>
        </w:trPr>
        <w:tc>
          <w:tcPr>
            <w:tcW w:w="3600" w:type="dxa"/>
            <w:shd w:val="clear" w:color="auto" w:fill="EBF5FB"/>
          </w:tcPr>
          <w:p w14:paraId="57F3B745" w14:textId="77777777" w:rsidR="00DC22CB" w:rsidRDefault="00000000">
            <w:r>
              <w:rPr>
                <w:sz w:val="17"/>
              </w:rPr>
              <w:t>Alpha (vs EFA)</w:t>
            </w:r>
          </w:p>
        </w:tc>
        <w:tc>
          <w:tcPr>
            <w:tcW w:w="2160" w:type="dxa"/>
            <w:shd w:val="clear" w:color="auto" w:fill="EBF5FB"/>
          </w:tcPr>
          <w:p w14:paraId="3BCAC754" w14:textId="77777777" w:rsidR="00DC22CB" w:rsidRDefault="00000000">
            <w:r>
              <w:rPr>
                <w:sz w:val="17"/>
              </w:rPr>
              <w:t>0.049</w:t>
            </w:r>
          </w:p>
        </w:tc>
      </w:tr>
      <w:tr w:rsidR="00DC22CB" w14:paraId="26EBC807" w14:textId="77777777">
        <w:trPr>
          <w:jc w:val="center"/>
        </w:trPr>
        <w:tc>
          <w:tcPr>
            <w:tcW w:w="3600" w:type="dxa"/>
          </w:tcPr>
          <w:p w14:paraId="5BA33203" w14:textId="77777777" w:rsidR="00DC22CB" w:rsidRDefault="00000000">
            <w:r>
              <w:rPr>
                <w:sz w:val="17"/>
              </w:rPr>
              <w:t>Beta (vs EFA)</w:t>
            </w:r>
          </w:p>
        </w:tc>
        <w:tc>
          <w:tcPr>
            <w:tcW w:w="2160" w:type="dxa"/>
          </w:tcPr>
          <w:p w14:paraId="1EC2816C" w14:textId="77777777" w:rsidR="00DC22CB" w:rsidRDefault="00000000">
            <w:r>
              <w:rPr>
                <w:sz w:val="17"/>
              </w:rPr>
              <w:t>0.337</w:t>
            </w:r>
          </w:p>
        </w:tc>
      </w:tr>
      <w:tr w:rsidR="00DC22CB" w14:paraId="3FA6F0AA" w14:textId="77777777">
        <w:trPr>
          <w:jc w:val="center"/>
        </w:trPr>
        <w:tc>
          <w:tcPr>
            <w:tcW w:w="3600" w:type="dxa"/>
            <w:shd w:val="clear" w:color="auto" w:fill="EBF5FB"/>
          </w:tcPr>
          <w:p w14:paraId="3E658C6F" w14:textId="77777777" w:rsidR="00DC22CB" w:rsidRDefault="00000000">
            <w:r>
              <w:rPr>
                <w:sz w:val="17"/>
              </w:rPr>
              <w:t>Annualized Volatility</w:t>
            </w:r>
          </w:p>
        </w:tc>
        <w:tc>
          <w:tcPr>
            <w:tcW w:w="2160" w:type="dxa"/>
            <w:shd w:val="clear" w:color="auto" w:fill="EBF5FB"/>
          </w:tcPr>
          <w:p w14:paraId="58C95AA2" w14:textId="77777777" w:rsidR="00DC22CB" w:rsidRDefault="00000000">
            <w:r>
              <w:rPr>
                <w:sz w:val="17"/>
              </w:rPr>
              <w:t>12.6%</w:t>
            </w:r>
          </w:p>
        </w:tc>
      </w:tr>
      <w:tr w:rsidR="00DC22CB" w14:paraId="0429F22C" w14:textId="77777777">
        <w:trPr>
          <w:jc w:val="center"/>
        </w:trPr>
        <w:tc>
          <w:tcPr>
            <w:tcW w:w="3600" w:type="dxa"/>
          </w:tcPr>
          <w:p w14:paraId="026B6E3F" w14:textId="77777777" w:rsidR="00DC22CB" w:rsidRDefault="00000000">
            <w:r>
              <w:rPr>
                <w:sz w:val="17"/>
              </w:rPr>
              <w:t>Win Rate</w:t>
            </w:r>
          </w:p>
        </w:tc>
        <w:tc>
          <w:tcPr>
            <w:tcW w:w="2160" w:type="dxa"/>
          </w:tcPr>
          <w:p w14:paraId="6E711B1C" w14:textId="77777777" w:rsidR="00DC22CB" w:rsidRDefault="00000000">
            <w:r>
              <w:rPr>
                <w:sz w:val="17"/>
              </w:rPr>
              <w:t>63%</w:t>
            </w:r>
          </w:p>
        </w:tc>
      </w:tr>
      <w:tr w:rsidR="00DC22CB" w14:paraId="6D660FA3" w14:textId="77777777">
        <w:trPr>
          <w:jc w:val="center"/>
        </w:trPr>
        <w:tc>
          <w:tcPr>
            <w:tcW w:w="3600" w:type="dxa"/>
            <w:shd w:val="clear" w:color="auto" w:fill="EBF5FB"/>
          </w:tcPr>
          <w:p w14:paraId="583C22E0" w14:textId="77777777" w:rsidR="00DC22CB" w:rsidRDefault="00000000">
            <w:r>
              <w:rPr>
                <w:sz w:val="17"/>
              </w:rPr>
              <w:t>Profit/Loss Ratio</w:t>
            </w:r>
          </w:p>
        </w:tc>
        <w:tc>
          <w:tcPr>
            <w:tcW w:w="2160" w:type="dxa"/>
            <w:shd w:val="clear" w:color="auto" w:fill="EBF5FB"/>
          </w:tcPr>
          <w:p w14:paraId="1612E19D" w14:textId="77777777" w:rsidR="00DC22CB" w:rsidRDefault="00000000">
            <w:r>
              <w:rPr>
                <w:sz w:val="17"/>
              </w:rPr>
              <w:t>1.22</w:t>
            </w:r>
          </w:p>
        </w:tc>
      </w:tr>
    </w:tbl>
    <w:p w14:paraId="7F72C49D" w14:textId="77777777" w:rsidR="00DC22CB" w:rsidRDefault="00000000">
      <w:pPr>
        <w:jc w:val="center"/>
      </w:pPr>
      <w:r>
        <w:rPr>
          <w:color w:val="969696"/>
          <w:sz w:val="16"/>
        </w:rPr>
        <w:t>Potomac Fund Management  |  Strategy backtest via QuantConnect LEAN</w:t>
      </w:r>
    </w:p>
    <w:sectPr w:rsidR="00DC22CB" w:rsidSect="00034616">
      <w:pgSz w:w="12240" w:h="15840"/>
      <w:pgMar w:top="792" w:right="936" w:bottom="64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4281235">
    <w:abstractNumId w:val="8"/>
  </w:num>
  <w:num w:numId="2" w16cid:durableId="1608274314">
    <w:abstractNumId w:val="6"/>
  </w:num>
  <w:num w:numId="3" w16cid:durableId="448397867">
    <w:abstractNumId w:val="5"/>
  </w:num>
  <w:num w:numId="4" w16cid:durableId="1706716477">
    <w:abstractNumId w:val="4"/>
  </w:num>
  <w:num w:numId="5" w16cid:durableId="618417895">
    <w:abstractNumId w:val="7"/>
  </w:num>
  <w:num w:numId="6" w16cid:durableId="1176000441">
    <w:abstractNumId w:val="3"/>
  </w:num>
  <w:num w:numId="7" w16cid:durableId="274481533">
    <w:abstractNumId w:val="2"/>
  </w:num>
  <w:num w:numId="8" w16cid:durableId="533540375">
    <w:abstractNumId w:val="1"/>
  </w:num>
  <w:num w:numId="9" w16cid:durableId="630139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0A3B"/>
    <w:rsid w:val="007F266E"/>
    <w:rsid w:val="00AA1D8D"/>
    <w:rsid w:val="00B47730"/>
    <w:rsid w:val="00CB0664"/>
    <w:rsid w:val="00DC22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62E7B38-53E7-4F5F-8EA2-873C8A7D1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793</Words>
  <Characters>4525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Woody Wiegmann</cp:lastModifiedBy>
  <cp:revision>2</cp:revision>
  <dcterms:created xsi:type="dcterms:W3CDTF">2013-12-23T23:15:00Z</dcterms:created>
  <dcterms:modified xsi:type="dcterms:W3CDTF">2026-03-03T02:04:00Z</dcterms:modified>
  <cp:category/>
</cp:coreProperties>
</file>