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A3C5E"/>
          <w:sz w:val="32"/>
        </w:rPr>
        <w:t>POTOMAC FUND MANAGEMENT</w:t>
      </w:r>
    </w:p>
    <w:p>
      <w:pPr>
        <w:spacing w:after="0"/>
      </w:pPr>
      <w:r>
        <w:rPr>
          <w:b/>
          <w:color w:val="333333"/>
          <w:sz w:val="26"/>
        </w:rPr>
        <w:t>CRTPX Strategy B: 1.2x ES Futures + Conditional Risk-Off</w:t>
      </w:r>
    </w:p>
    <w:p>
      <w:pPr>
        <w:spacing w:after="0"/>
      </w:pPr>
      <w:r>
        <w:rPr>
          <w:color w:val="666666"/>
          <w:sz w:val="20"/>
        </w:rPr>
        <w:t>February 2026  |  QuantConnect Backtest  |  June 2019 – February 2026</w:t>
      </w:r>
    </w:p>
    <w:p>
      <w:pPr>
        <w:spacing w:after="40"/>
      </w:pPr>
      <w:r>
        <w:rPr>
          <w:color w:val="666666"/>
          <w:sz w:val="20"/>
        </w:rPr>
        <w:t>Woody Wiegmann</w:t>
      </w:r>
    </w:p>
    <w:p>
      <w:pPr>
        <w:spacing w:before="0" w:after="80"/>
        <w:pBdr>
          <w:bottom w:val="single" w:sz="6" w:space="1" w:color="1A3C5E"/>
        </w:pBdr>
      </w:pPr>
    </w:p>
    <w:p>
      <w:pPr>
        <w:spacing w:after="40"/>
      </w:pPr>
      <w:r>
        <w:rPr>
          <w:b/>
          <w:color w:val="1A3C5E"/>
          <w:sz w:val="22"/>
        </w:rPr>
        <w:t>Signal Architecture</w:t>
      </w:r>
    </w:p>
    <w:p>
      <w:pPr>
        <w:spacing w:after="20"/>
        <w:ind w:left="216"/>
      </w:pPr>
      <w:r>
        <w:rPr>
          <w:b/>
          <w:sz w:val="18"/>
        </w:rPr>
        <w:t xml:space="preserve">Penta1: </w:t>
      </w:r>
      <w:r>
        <w:rPr>
          <w:sz w:val="18"/>
        </w:rPr>
        <w:t>SPY close &gt; 50-day SMA(SPY)  (Trend)</w:t>
      </w:r>
    </w:p>
    <w:p>
      <w:pPr>
        <w:spacing w:after="20"/>
        <w:ind w:left="216"/>
      </w:pPr>
      <w:r>
        <w:rPr>
          <w:b/>
          <w:sz w:val="18"/>
        </w:rPr>
        <w:t xml:space="preserve">Penta2: </w:t>
      </w:r>
      <w:r>
        <w:rPr>
          <w:sz w:val="18"/>
        </w:rPr>
        <w:t>IYT close &gt; 50-day SMA(IYT)  (Economic confirmation)</w:t>
      </w:r>
    </w:p>
    <w:p>
      <w:pPr>
        <w:spacing w:after="20"/>
        <w:ind w:left="216"/>
      </w:pPr>
      <w:r>
        <w:rPr>
          <w:b/>
          <w:sz w:val="18"/>
        </w:rPr>
        <w:t xml:space="preserve">Penta3: </w:t>
      </w:r>
      <w:r>
        <w:rPr>
          <w:sz w:val="18"/>
        </w:rPr>
        <w:t>^NYA close &gt; 50-day SMA(^NYA)  (NYSE breadth (index data))</w:t>
      </w:r>
    </w:p>
    <w:p>
      <w:pPr>
        <w:spacing w:after="20"/>
        <w:ind w:left="216"/>
      </w:pPr>
      <w:r>
        <w:rPr>
          <w:b/>
          <w:sz w:val="18"/>
        </w:rPr>
        <w:t xml:space="preserve">Penta4: </w:t>
      </w:r>
      <w:r>
        <w:rPr>
          <w:sz w:val="18"/>
        </w:rPr>
        <w:t>LQD close &gt; 50-day SMA(LQD)  (Credit conditions)</w:t>
      </w:r>
    </w:p>
    <w:p>
      <w:pPr>
        <w:spacing w:before="80" w:after="40"/>
      </w:pPr>
      <w:r>
        <w:rPr>
          <w:b/>
          <w:sz w:val="18"/>
        </w:rPr>
        <w:t>Penta ON = 3+ of 4 green.  3-day confirmation (Sum/ExRem).  Risk-on: 1.2x S&amp;P 500 via ES futures (excess cash earns T-bill yield).</w:t>
      </w:r>
    </w:p>
    <w:p>
      <w:pPr>
        <w:spacing w:after="40"/>
      </w:pPr>
      <w:r>
        <w:rPr>
          <w:b/>
          <w:color w:val="1A3C5E"/>
          <w:sz w:val="22"/>
        </w:rPr>
        <w:t>Conditional Risk-Off Allocation</w:t>
      </w:r>
    </w:p>
    <w:p>
      <w:pPr>
        <w:spacing w:after="20"/>
        <w:ind w:left="216"/>
      </w:pPr>
      <w:r>
        <w:rPr>
          <w:b/>
          <w:sz w:val="18"/>
        </w:rPr>
        <w:t xml:space="preserve">Bearish (SPY &lt; 50-day SMA): </w:t>
      </w:r>
      <w:r>
        <w:rPr>
          <w:sz w:val="18"/>
        </w:rPr>
        <w:t>50% SGOV + 50% CAOS</w:t>
      </w:r>
    </w:p>
    <w:p>
      <w:pPr>
        <w:spacing w:after="40"/>
        <w:ind w:left="216"/>
      </w:pPr>
      <w:r>
        <w:rPr>
          <w:b/>
          <w:sz w:val="18"/>
        </w:rPr>
        <w:t xml:space="preserve">Bullish (SPY &gt; 50-day SMA): </w:t>
      </w:r>
      <w:r>
        <w:rPr>
          <w:sz w:val="18"/>
        </w:rPr>
        <w:t>50% SGOV + 25% CAOS + 25% DBMF</w:t>
      </w:r>
    </w:p>
    <w:p>
      <w:pPr>
        <w:spacing w:after="120"/>
      </w:pPr>
      <w:r>
        <w:rPr>
          <w:color w:val="666666"/>
          <w:sz w:val="16"/>
        </w:rPr>
        <w:t>Risk-on leverage: ES futures provide 1.2x notional S&amp;P 500 exposure with margin efficiency. Excess cash earns T-bill yield implicitly. Auto-rolls to front month contract. Risk-off (1.0x, no leverage): CAOS provides convex put-like payoff at drawdown onset. DBMF replicates hedge fund managed futures (bullish risk-off only). SGOV anchors 50% of capital with zero equity beta.</w:t>
      </w:r>
    </w:p>
    <w:p>
      <w:pPr>
        <w:spacing w:after="40"/>
      </w:pPr>
      <w:r>
        <w:rPr>
          <w:b/>
          <w:color w:val="1A3C5E"/>
          <w:sz w:val="22"/>
        </w:rPr>
        <w:t>Backtest Results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283"/>
        </w:trPr>
        <w:tc>
          <w:tcPr>
            <w:tcW w:type="dxa" w:w="316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32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Period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June 2019 – February 2026 (6.7 years)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Starting Capital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$1,000,000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Final Equity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$1,930,911.27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CAGR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10.354%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Net Profit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93.091%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Max Drawdown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17.900%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Sharpe Ratio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0.408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Sortino Ratio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0.372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Alpha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0.014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Beta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0.332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Win Rate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65%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Loss Rate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35%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Avg Win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2.18%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Avg Loss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-1.77%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Total Orders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177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Total Fees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$5650.41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Portfolio Turnover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5.66%</w:t>
            </w:r>
          </w:p>
        </w:tc>
      </w:tr>
    </w:tbl>
    <w:p>
      <w:pPr>
        <w:spacing w:before="160" w:after="40"/>
      </w:pPr>
      <w:r>
        <w:rPr>
          <w:b/>
          <w:color w:val="1A3C5E"/>
          <w:sz w:val="22"/>
        </w:rPr>
        <w:t>Trade Activity (from Trade CSV)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283"/>
        </w:trPr>
        <w:tc>
          <w:tcPr>
            <w:tcW w:type="dxa" w:w="3168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320"/>
            <w:shd w:fill="1A3C5E"/>
            <w:tcBorders>
              <w:top w:val="single" w:sz="4" w:space="0" w:color="1A3C5E"/>
              <w:bottom w:val="single" w:sz="4" w:space="0" w:color="1A3C5E"/>
              <w:left w:val="single" w:sz="4" w:space="0" w:color="1A3C5E"/>
              <w:right w:val="single" w:sz="4" w:space="0" w:color="1A3C5E"/>
            </w:tcBorders>
          </w:tcPr>
          <w:p>
            <w:pPr>
              <w:spacing w:before="20" w:after="20"/>
              <w:jc w:val="center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Regime switches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Switches/year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0.0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TLH swaps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22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Risk-on days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 (0%)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Risk-off days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0 (0%)</w:t>
            </w:r>
          </w:p>
        </w:tc>
      </w:tr>
      <w:tr>
        <w:trPr>
          <w:trHeight w:val="283"/>
        </w:trPr>
        <w:tc>
          <w:tcPr>
            <w:tcW w:type="dxa" w:w="316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left"/>
            </w:pPr>
            <w:r/>
            <w:r>
              <w:rPr>
                <w:b/>
                <w:sz w:val="16"/>
              </w:rPr>
              <w:t>Total trades</w:t>
            </w:r>
          </w:p>
        </w:tc>
        <w:tc>
          <w:tcPr>
            <w:tcW w:type="dxa" w:w="4320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spacing w:before="20" w:after="20"/>
              <w:jc w:val="center"/>
            </w:pPr>
            <w:r/>
            <w:r>
              <w:rPr>
                <w:sz w:val="16"/>
              </w:rPr>
              <w:t>177</w:t>
            </w:r>
          </w:p>
        </w:tc>
      </w:tr>
    </w:tbl>
    <w:p>
      <w:pPr>
        <w:spacing w:before="200" w:after="80"/>
      </w:pPr>
      <w:r>
        <w:rPr>
          <w:b/>
          <w:color w:val="1A3C5E"/>
          <w:sz w:val="22"/>
        </w:rPr>
        <w:t>AmiBroker Implementation (for Developer)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SMA_Period = 50;  ConfirmDays = 3;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---- Penta signal indicators ----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Penta1 = Foreign("SPY","C") &gt; MA(Foreign("SPY","C"),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Penta2 = Foreign("IYT","C") &gt; MA(Foreign("IYT","C"),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Penta3 = Foreign("~NYA","C") &gt; MA(Foreign("~NYA","C"),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Penta4 = Foreign("LQD","C") &gt; MA(Foreign("LQD","C"),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PentaScore = Penta1 + Penta2 + Penta3 + Penta4;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RawOn = PentaScore &gt;= 3;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3-day confirmation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ConfOn  = Sum(RawOn, ConfirmDays) == ConfirmDays;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ConfOff = Sum(!RawOn, ConfirmDays) == ConfirmDays;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Buy  = ExRem(ConfOn, ConfOff);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Sell = ExRem(ConfOff, ConfOn);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---- Risk-on allocation ----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1.2x S&amp;P 500 notional via ES futures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(AmiBroker: use SetPositionSize(120, spsPercentOfEquity)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 or track ES continuous front-month contract)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---- Conditional risk-off (Strategy B) ----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SpyBearish = Foreign("SPY","C") &lt; MA(Foreign("SPY","C"), SMA_Period);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Bearish risk-off (SPY below 50-day SMA):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RiskOffBearRet = 0.50 * ROC(Foreign("SGOV","C"),1)/100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 xml:space="preserve">               + 0.50 * ROC(Foreign("CAOS","C"),1)/100;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Bullish risk-off (SPY above 50-day SMA):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RiskOffBullRet = 0.50 * ROC(Foreign("SGOV","C"),1)/100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 xml:space="preserve">               + 0.25 * ROC(Foreign("CAOS","C"),1)/100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 xml:space="preserve">               + 0.25 * ROC(Foreign("DBMF","C"),1)/100;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Select blend based on SPY vs SMA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RiskOffRet = IIf(SpyBearish, RiskOffBearRet, RiskOffBullRet);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No TLH needed -- futures are Section 1256 contracts</w:t>
      </w:r>
    </w:p>
    <w:p>
      <w:pPr>
        <w:spacing w:after="0"/>
        <w:ind w:left="432"/>
      </w:pPr>
      <w:r>
        <w:rPr>
          <w:rFonts w:ascii="Consolas" w:hAnsi="Consolas"/>
          <w:color w:val="333333"/>
          <w:sz w:val="16"/>
        </w:rPr>
        <w:t>// (60/40 long-term/short-term tax treatment)</w:t>
      </w:r>
    </w:p>
    <w:p>
      <w:pPr>
        <w:spacing w:before="160" w:after="40"/>
      </w:pPr>
      <w:r>
        <w:rPr>
          <w:b/>
          <w:color w:val="1A3C5E"/>
          <w:sz w:val="20"/>
        </w:rPr>
        <w:t>Sensitivity Testing Parameters</w:t>
      </w:r>
    </w:p>
    <w:p>
      <w:pPr>
        <w:spacing w:after="20"/>
        <w:ind w:left="216"/>
      </w:pPr>
      <w:r>
        <w:rPr>
          <w:sz w:val="18"/>
        </w:rPr>
        <w:t>• SMA period: test 40, 50, 60, 80</w:t>
      </w:r>
    </w:p>
    <w:p>
      <w:pPr>
        <w:spacing w:after="20"/>
        <w:ind w:left="216"/>
      </w:pPr>
      <w:r>
        <w:rPr>
          <w:sz w:val="18"/>
        </w:rPr>
        <w:t>• Confirmation days: test 2, 3, 5</w:t>
      </w:r>
    </w:p>
    <w:p>
      <w:pPr>
        <w:spacing w:after="20"/>
        <w:ind w:left="216"/>
      </w:pPr>
      <w:r>
        <w:rPr>
          <w:sz w:val="18"/>
        </w:rPr>
        <w:t>• TLH loss threshold: test -2%, -3%, -5%</w:t>
      </w:r>
    </w:p>
    <w:p>
      <w:pPr>
        <w:spacing w:after="20"/>
        <w:ind w:left="216"/>
      </w:pPr>
      <w:r>
        <w:rPr>
          <w:sz w:val="18"/>
        </w:rPr>
        <w:t>• CTA vs DBMF bearish/bullish split: test alternative thresholds</w:t>
      </w:r>
    </w:p>
    <w:p>
      <w:pPr>
        <w:spacing w:after="20"/>
        <w:ind w:left="216"/>
      </w:pPr>
      <w:r>
        <w:rPr>
          <w:sz w:val="18"/>
        </w:rPr>
        <w:t>• CAOS weight: test 20-40% range</w:t>
      </w:r>
    </w:p>
    <w:p>
      <w:pPr>
        <w:spacing w:before="80"/>
      </w:pPr>
      <w:r>
        <w:rPr>
          <w:b/>
          <w:color w:val="1A3C5E"/>
          <w:sz w:val="18"/>
        </w:rPr>
        <w:t xml:space="preserve">Why this isn't overfit: </w:t>
      </w:r>
      <w:r>
        <w:rPr>
          <w:sz w:val="18"/>
        </w:rPr>
        <w:t>4 standard indicators, 1 parameter each (50-day SMA). 3-day confirmation is a standard anti-whipsaw filter. Only 2 free parameters total.</w:t>
      </w:r>
    </w:p>
    <w:p>
      <w:pPr>
        <w:spacing w:before="200" w:after="40"/>
        <w:pBdr>
          <w:bottom w:val="single" w:sz="6" w:space="1" w:color="1A3C5E"/>
        </w:pBdr>
      </w:pPr>
    </w:p>
    <w:p>
      <w:r>
        <w:rPr>
          <w:b/>
          <w:color w:val="1A3C5E"/>
          <w:sz w:val="16"/>
        </w:rPr>
        <w:t xml:space="preserve">Data Sources: </w:t>
      </w:r>
      <w:r>
        <w:rPr>
          <w:color w:val="333333"/>
          <w:sz w:val="16"/>
        </w:rPr>
        <w:t>SPY (equity), IYT (equity), NYA (QuantConnect Cash Index — actual NYSE Composite), LQD (equity). SMA computed by QuantConnect built-in SMA indicator on daily close prices. Trade CSV (crtpx_trades.csv) contains all 107 orders with dates, prices, and share counts.</w:t>
      </w:r>
    </w:p>
    <w:p>
      <w:r>
        <w:rPr>
          <w:color w:val="666666"/>
          <w:sz w:val="16"/>
        </w:rPr>
        <w:t>QuantConnect backtest: https://www.quantconnect.com/terminal/28552769#open/f4059b5808096b3fc4a98ae8da4bee11</w:t>
      </w:r>
    </w:p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