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b/>
          <w:color w:val="1A3C5E"/>
          <w:sz w:val="30"/>
        </w:rPr>
        <w:t>POTOMAC FUND MANAGEMENT</w:t>
      </w:r>
    </w:p>
    <w:p>
      <w:pPr>
        <w:spacing w:after="0"/>
      </w:pPr>
      <w:r>
        <w:rPr>
          <w:b/>
          <w:color w:val="333333"/>
          <w:sz w:val="24"/>
        </w:rPr>
        <w:t>CRTOX Universe Expansion: Reducing Pairwise Correlation</w:t>
      </w:r>
    </w:p>
    <w:p>
      <w:pPr>
        <w:spacing w:after="0"/>
      </w:pPr>
      <w:r>
        <w:rPr>
          <w:color w:val="666666"/>
          <w:sz w:val="20"/>
        </w:rPr>
        <w:t>March 2026  |  Woody Wiegmann</w:t>
      </w:r>
    </w:p>
    <w:p>
      <w:pPr>
        <w:spacing w:before="0" w:after="40"/>
        <w:pBdr>
          <w:bottom w:val="single" w:sz="6" w:space="1" w:color="1A3C5E"/>
        </w:pBdr>
      </w:pPr>
    </w:p>
    <w:p>
      <w:pPr>
        <w:spacing w:before="120" w:after="40"/>
      </w:pPr>
      <w:r>
        <w:rPr>
          <w:b/>
          <w:color w:val="1A3C5E"/>
          <w:sz w:val="19"/>
        </w:rPr>
        <w:t>Proposal</w:t>
      </w:r>
    </w:p>
    <w:p>
      <w:pPr>
        <w:spacing w:after="40"/>
      </w:pPr>
      <w:r>
        <w:rPr>
          <w:sz w:val="18"/>
        </w:rPr>
        <w:t>Expand the CRTOX equity rotation universe from 13 to 18 ETFs by adding 8 thematically distinct funds and dropping 3 that overlap with existing holdings. Average pairwise correlation falls from 0.551 to 0.464 (-0.086), broadening the opportunity set without changing signals, rebalance frequency, or risk-off mechanics.</w:t>
      </w:r>
    </w:p>
    <w:p>
      <w:pPr>
        <w:spacing w:before="120" w:after="40"/>
      </w:pPr>
      <w:r>
        <w:rPr>
          <w:b/>
          <w:color w:val="1A3C5E"/>
          <w:sz w:val="19"/>
        </w:rPr>
        <w:t>Universe Changes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rPr>
          <w:trHeight w:val="255"/>
        </w:trPr>
        <w:tc>
          <w:tcPr>
            <w:tcW w:type="dxa" w:w="432"/>
            <w:shd w:fill="1A3C5E"/>
            <w:tcBorders>
              <w:top w:val="single" w:sz="4" w:space="0" w:color="1A3C5E"/>
              <w:bottom w:val="single" w:sz="4" w:space="0" w:color="1A3C5E"/>
              <w:left w:val="single" w:sz="4" w:space="0" w:color="1A3C5E"/>
              <w:right w:val="single" w:sz="4" w:space="0" w:color="1A3C5E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5"/>
              </w:rPr>
              <w:t>Add</w:t>
            </w:r>
          </w:p>
        </w:tc>
        <w:tc>
          <w:tcPr>
            <w:tcW w:type="dxa" w:w="720"/>
            <w:shd w:fill="1A3C5E"/>
            <w:tcBorders>
              <w:top w:val="single" w:sz="4" w:space="0" w:color="1A3C5E"/>
              <w:bottom w:val="single" w:sz="4" w:space="0" w:color="1A3C5E"/>
              <w:left w:val="single" w:sz="4" w:space="0" w:color="1A3C5E"/>
              <w:right w:val="single" w:sz="4" w:space="0" w:color="1A3C5E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5"/>
              </w:rPr>
              <w:t>Ticker</w:t>
            </w:r>
          </w:p>
        </w:tc>
        <w:tc>
          <w:tcPr>
            <w:tcW w:type="dxa" w:w="1728"/>
            <w:shd w:fill="1A3C5E"/>
            <w:tcBorders>
              <w:top w:val="single" w:sz="4" w:space="0" w:color="1A3C5E"/>
              <w:bottom w:val="single" w:sz="4" w:space="0" w:color="1A3C5E"/>
              <w:left w:val="single" w:sz="4" w:space="0" w:color="1A3C5E"/>
              <w:right w:val="single" w:sz="4" w:space="0" w:color="1A3C5E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5"/>
              </w:rPr>
              <w:t>Theme</w:t>
            </w:r>
          </w:p>
        </w:tc>
        <w:tc>
          <w:tcPr>
            <w:tcW w:type="dxa" w:w="1008"/>
            <w:shd w:fill="1A3C5E"/>
            <w:tcBorders>
              <w:top w:val="single" w:sz="4" w:space="0" w:color="1A3C5E"/>
              <w:bottom w:val="single" w:sz="4" w:space="0" w:color="1A3C5E"/>
              <w:left w:val="single" w:sz="4" w:space="0" w:color="1A3C5E"/>
              <w:right w:val="single" w:sz="4" w:space="0" w:color="1A3C5E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5"/>
              </w:rPr>
              <w:t>Avg Corr</w:t>
              <w:br/>
              <w:t>to Universe</w:t>
            </w:r>
          </w:p>
        </w:tc>
        <w:tc>
          <w:tcPr>
            <w:tcW w:type="dxa" w:w="864"/>
            <w:shd w:fill="1A3C5E"/>
            <w:tcBorders>
              <w:top w:val="single" w:sz="4" w:space="0" w:color="1A3C5E"/>
              <w:bottom w:val="single" w:sz="4" w:space="0" w:color="1A3C5E"/>
              <w:left w:val="single" w:sz="4" w:space="0" w:color="1A3C5E"/>
              <w:right w:val="single" w:sz="4" w:space="0" w:color="1A3C5E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5"/>
              </w:rPr>
              <w:t>SPY Corr</w:t>
            </w:r>
          </w:p>
        </w:tc>
        <w:tc>
          <w:tcPr>
            <w:tcW w:type="dxa" w:w="4176"/>
            <w:shd w:fill="1A3C5E"/>
            <w:tcBorders>
              <w:top w:val="single" w:sz="4" w:space="0" w:color="1A3C5E"/>
              <w:bottom w:val="single" w:sz="4" w:space="0" w:color="1A3C5E"/>
              <w:left w:val="single" w:sz="4" w:space="0" w:color="1A3C5E"/>
              <w:right w:val="single" w:sz="4" w:space="0" w:color="1A3C5E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5"/>
              </w:rPr>
              <w:t>Rationale</w:t>
            </w:r>
          </w:p>
        </w:tc>
      </w:tr>
      <w:tr>
        <w:trPr>
          <w:trHeight w:val="255"/>
        </w:trPr>
        <w:tc>
          <w:tcPr>
            <w:tcW w:type="dxa" w:w="432"/>
            <w:shd w:fill="E8F4E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/>
            <w:r>
              <w:rPr>
                <w:b/>
                <w:sz w:val="15"/>
              </w:rPr>
              <w:t>+</w:t>
            </w:r>
          </w:p>
        </w:tc>
        <w:tc>
          <w:tcPr>
            <w:tcW w:type="dxa" w:w="720"/>
            <w:shd w:fill="E8F4E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URNM</w:t>
            </w:r>
          </w:p>
        </w:tc>
        <w:tc>
          <w:tcPr>
            <w:tcW w:type="dxa" w:w="1728"/>
            <w:shd w:fill="E8F4E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Uranium / Nuclear</w:t>
            </w:r>
          </w:p>
        </w:tc>
        <w:tc>
          <w:tcPr>
            <w:tcW w:type="dxa" w:w="1008"/>
            <w:shd w:fill="E8F4E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+0.40</w:t>
            </w:r>
          </w:p>
        </w:tc>
        <w:tc>
          <w:tcPr>
            <w:tcW w:type="dxa" w:w="864"/>
            <w:shd w:fill="E8F4E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+0.40</w:t>
            </w:r>
          </w:p>
        </w:tc>
        <w:tc>
          <w:tcPr>
            <w:tcW w:type="dxa" w:w="4176"/>
            <w:shd w:fill="E8F4E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Uncorrelated nuclear/uranium theme</w:t>
            </w:r>
          </w:p>
        </w:tc>
      </w:tr>
      <w:tr>
        <w:trPr>
          <w:trHeight w:val="255"/>
        </w:trPr>
        <w:tc>
          <w:tcPr>
            <w:tcW w:type="dxa" w:w="432"/>
            <w:shd w:fill="E8F4E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/>
            <w:r>
              <w:rPr>
                <w:b/>
                <w:sz w:val="15"/>
              </w:rPr>
              <w:t>+</w:t>
            </w:r>
          </w:p>
        </w:tc>
        <w:tc>
          <w:tcPr>
            <w:tcW w:type="dxa" w:w="720"/>
            <w:shd w:fill="E8F4E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COPX</w:t>
            </w:r>
          </w:p>
        </w:tc>
        <w:tc>
          <w:tcPr>
            <w:tcW w:type="dxa" w:w="1728"/>
            <w:shd w:fill="E8F4E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Copper Miners</w:t>
            </w:r>
          </w:p>
        </w:tc>
        <w:tc>
          <w:tcPr>
            <w:tcW w:type="dxa" w:w="1008"/>
            <w:shd w:fill="E8F4E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+0.52</w:t>
            </w:r>
          </w:p>
        </w:tc>
        <w:tc>
          <w:tcPr>
            <w:tcW w:type="dxa" w:w="864"/>
            <w:shd w:fill="E8F4E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+0.53</w:t>
            </w:r>
          </w:p>
        </w:tc>
        <w:tc>
          <w:tcPr>
            <w:tcW w:type="dxa" w:w="4176"/>
            <w:shd w:fill="E8F4E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Pure copper exposure vs broad XME</w:t>
            </w:r>
          </w:p>
        </w:tc>
      </w:tr>
      <w:tr>
        <w:trPr>
          <w:trHeight w:val="255"/>
        </w:trPr>
        <w:tc>
          <w:tcPr>
            <w:tcW w:type="dxa" w:w="432"/>
            <w:shd w:fill="E8F4E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/>
            <w:r>
              <w:rPr>
                <w:b/>
                <w:sz w:val="15"/>
              </w:rPr>
              <w:t>+</w:t>
            </w:r>
          </w:p>
        </w:tc>
        <w:tc>
          <w:tcPr>
            <w:tcW w:type="dxa" w:w="720"/>
            <w:shd w:fill="E8F4E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PAVE</w:t>
            </w:r>
          </w:p>
        </w:tc>
        <w:tc>
          <w:tcPr>
            <w:tcW w:type="dxa" w:w="1728"/>
            <w:shd w:fill="E8F4E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US Infrastructure</w:t>
            </w:r>
          </w:p>
        </w:tc>
        <w:tc>
          <w:tcPr>
            <w:tcW w:type="dxa" w:w="1008"/>
            <w:shd w:fill="E8F4E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+0.55</w:t>
            </w:r>
          </w:p>
        </w:tc>
        <w:tc>
          <w:tcPr>
            <w:tcW w:type="dxa" w:w="864"/>
            <w:shd w:fill="E8F4E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+0.82</w:t>
            </w:r>
          </w:p>
        </w:tc>
        <w:tc>
          <w:tcPr>
            <w:tcW w:type="dxa" w:w="4176"/>
            <w:shd w:fill="E8F4E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US infrastructure spending cycle</w:t>
            </w:r>
          </w:p>
        </w:tc>
      </w:tr>
      <w:tr>
        <w:trPr>
          <w:trHeight w:val="255"/>
        </w:trPr>
        <w:tc>
          <w:tcPr>
            <w:tcW w:type="dxa" w:w="432"/>
            <w:shd w:fill="E8F4E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/>
            <w:r>
              <w:rPr>
                <w:b/>
                <w:sz w:val="15"/>
              </w:rPr>
              <w:t>+</w:t>
            </w:r>
          </w:p>
        </w:tc>
        <w:tc>
          <w:tcPr>
            <w:tcW w:type="dxa" w:w="720"/>
            <w:shd w:fill="E8F4E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CIBR</w:t>
            </w:r>
          </w:p>
        </w:tc>
        <w:tc>
          <w:tcPr>
            <w:tcW w:type="dxa" w:w="1728"/>
            <w:shd w:fill="E8F4E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Cybersecurity</w:t>
            </w:r>
          </w:p>
        </w:tc>
        <w:tc>
          <w:tcPr>
            <w:tcW w:type="dxa" w:w="1008"/>
            <w:shd w:fill="E8F4E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+0.49</w:t>
            </w:r>
          </w:p>
        </w:tc>
        <w:tc>
          <w:tcPr>
            <w:tcW w:type="dxa" w:w="864"/>
            <w:shd w:fill="E8F4E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+0.80</w:t>
            </w:r>
          </w:p>
        </w:tc>
        <w:tc>
          <w:tcPr>
            <w:tcW w:type="dxa" w:w="4176"/>
            <w:shd w:fill="E8F4E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Cybersecurity; distinct from broad tech</w:t>
            </w:r>
          </w:p>
        </w:tc>
      </w:tr>
      <w:tr>
        <w:trPr>
          <w:trHeight w:val="255"/>
        </w:trPr>
        <w:tc>
          <w:tcPr>
            <w:tcW w:type="dxa" w:w="432"/>
            <w:shd w:fill="E8F4E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/>
            <w:r>
              <w:rPr>
                <w:b/>
                <w:sz w:val="15"/>
              </w:rPr>
              <w:t>+</w:t>
            </w:r>
          </w:p>
        </w:tc>
        <w:tc>
          <w:tcPr>
            <w:tcW w:type="dxa" w:w="720"/>
            <w:shd w:fill="E8F4E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AMLP</w:t>
            </w:r>
          </w:p>
        </w:tc>
        <w:tc>
          <w:tcPr>
            <w:tcW w:type="dxa" w:w="1728"/>
            <w:shd w:fill="E8F4E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Midstream MLPs</w:t>
            </w:r>
          </w:p>
        </w:tc>
        <w:tc>
          <w:tcPr>
            <w:tcW w:type="dxa" w:w="1008"/>
            <w:shd w:fill="E8F4E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+0.39</w:t>
            </w:r>
          </w:p>
        </w:tc>
        <w:tc>
          <w:tcPr>
            <w:tcW w:type="dxa" w:w="864"/>
            <w:shd w:fill="E8F4E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+0.54</w:t>
            </w:r>
          </w:p>
        </w:tc>
        <w:tc>
          <w:tcPr>
            <w:tcW w:type="dxa" w:w="4176"/>
            <w:shd w:fill="E8F4E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Midstream MLPs; low equity beta, high yield</w:t>
            </w:r>
          </w:p>
        </w:tc>
      </w:tr>
      <w:tr>
        <w:trPr>
          <w:trHeight w:val="255"/>
        </w:trPr>
        <w:tc>
          <w:tcPr>
            <w:tcW w:type="dxa" w:w="432"/>
            <w:shd w:fill="E8F4E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/>
            <w:r>
              <w:rPr>
                <w:b/>
                <w:sz w:val="15"/>
              </w:rPr>
              <w:t>+</w:t>
            </w:r>
          </w:p>
        </w:tc>
        <w:tc>
          <w:tcPr>
            <w:tcW w:type="dxa" w:w="720"/>
            <w:shd w:fill="E8F4E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EMXC</w:t>
            </w:r>
          </w:p>
        </w:tc>
        <w:tc>
          <w:tcPr>
            <w:tcW w:type="dxa" w:w="1728"/>
            <w:shd w:fill="E8F4E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EM ex-China</w:t>
            </w:r>
          </w:p>
        </w:tc>
        <w:tc>
          <w:tcPr>
            <w:tcW w:type="dxa" w:w="1008"/>
            <w:shd w:fill="E8F4E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+0.57</w:t>
            </w:r>
          </w:p>
        </w:tc>
        <w:tc>
          <w:tcPr>
            <w:tcW w:type="dxa" w:w="864"/>
            <w:shd w:fill="E8F4E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+0.74</w:t>
            </w:r>
          </w:p>
        </w:tc>
        <w:tc>
          <w:tcPr>
            <w:tcW w:type="dxa" w:w="4176"/>
            <w:shd w:fill="E8F4E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EM without China concentration risk</w:t>
            </w:r>
          </w:p>
        </w:tc>
      </w:tr>
      <w:tr>
        <w:trPr>
          <w:trHeight w:val="255"/>
        </w:trPr>
        <w:tc>
          <w:tcPr>
            <w:tcW w:type="dxa" w:w="432"/>
            <w:shd w:fill="E8F4E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/>
            <w:r>
              <w:rPr>
                <w:b/>
                <w:sz w:val="15"/>
              </w:rPr>
              <w:t>+</w:t>
            </w:r>
          </w:p>
        </w:tc>
        <w:tc>
          <w:tcPr>
            <w:tcW w:type="dxa" w:w="720"/>
            <w:shd w:fill="E8F4E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GLDM</w:t>
            </w:r>
          </w:p>
        </w:tc>
        <w:tc>
          <w:tcPr>
            <w:tcW w:type="dxa" w:w="1728"/>
            <w:shd w:fill="E8F4E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Physical Gold</w:t>
            </w:r>
          </w:p>
        </w:tc>
        <w:tc>
          <w:tcPr>
            <w:tcW w:type="dxa" w:w="1008"/>
            <w:shd w:fill="E8F4E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+0.26</w:t>
            </w:r>
          </w:p>
        </w:tc>
        <w:tc>
          <w:tcPr>
            <w:tcW w:type="dxa" w:w="864"/>
            <w:shd w:fill="E8F4E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+0.08</w:t>
            </w:r>
          </w:p>
        </w:tc>
        <w:tc>
          <w:tcPr>
            <w:tcW w:type="dxa" w:w="4176"/>
            <w:shd w:fill="E8F4E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Physical gold; near-zero equity correlation</w:t>
            </w:r>
          </w:p>
        </w:tc>
      </w:tr>
      <w:tr>
        <w:trPr>
          <w:trHeight w:val="255"/>
        </w:trPr>
        <w:tc>
          <w:tcPr>
            <w:tcW w:type="dxa" w:w="432"/>
            <w:shd w:fill="E8F4E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/>
            <w:r>
              <w:rPr>
                <w:b/>
                <w:sz w:val="15"/>
              </w:rPr>
              <w:t>+</w:t>
            </w:r>
          </w:p>
        </w:tc>
        <w:tc>
          <w:tcPr>
            <w:tcW w:type="dxa" w:w="720"/>
            <w:shd w:fill="E8F4E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DBA</w:t>
            </w:r>
          </w:p>
        </w:tc>
        <w:tc>
          <w:tcPr>
            <w:tcW w:type="dxa" w:w="1728"/>
            <w:shd w:fill="E8F4E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Broad Agriculture</w:t>
            </w:r>
          </w:p>
        </w:tc>
        <w:tc>
          <w:tcPr>
            <w:tcW w:type="dxa" w:w="1008"/>
            <w:shd w:fill="E8F4E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+0.18</w:t>
            </w:r>
          </w:p>
        </w:tc>
        <w:tc>
          <w:tcPr>
            <w:tcW w:type="dxa" w:w="864"/>
            <w:shd w:fill="E8F4E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+0.21</w:t>
            </w:r>
          </w:p>
        </w:tc>
        <w:tc>
          <w:tcPr>
            <w:tcW w:type="dxa" w:w="4176"/>
            <w:shd w:fill="E8F4E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Agriculture; weather-driven, non-equity factor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rHeight w:val="255"/>
        </w:trPr>
        <w:tc>
          <w:tcPr>
            <w:tcW w:type="dxa" w:w="432"/>
            <w:shd w:fill="1A3C5E"/>
            <w:tcBorders>
              <w:top w:val="single" w:sz="4" w:space="0" w:color="1A3C5E"/>
              <w:bottom w:val="single" w:sz="4" w:space="0" w:color="1A3C5E"/>
              <w:left w:val="single" w:sz="4" w:space="0" w:color="1A3C5E"/>
              <w:right w:val="single" w:sz="4" w:space="0" w:color="1A3C5E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5"/>
              </w:rPr>
              <w:t>Drop</w:t>
            </w:r>
          </w:p>
        </w:tc>
        <w:tc>
          <w:tcPr>
            <w:tcW w:type="dxa" w:w="720"/>
            <w:shd w:fill="1A3C5E"/>
            <w:tcBorders>
              <w:top w:val="single" w:sz="4" w:space="0" w:color="1A3C5E"/>
              <w:bottom w:val="single" w:sz="4" w:space="0" w:color="1A3C5E"/>
              <w:left w:val="single" w:sz="4" w:space="0" w:color="1A3C5E"/>
              <w:right w:val="single" w:sz="4" w:space="0" w:color="1A3C5E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5"/>
              </w:rPr>
              <w:t>Ticker</w:t>
            </w:r>
          </w:p>
        </w:tc>
        <w:tc>
          <w:tcPr>
            <w:tcW w:type="dxa" w:w="1728"/>
            <w:shd w:fill="1A3C5E"/>
            <w:tcBorders>
              <w:top w:val="single" w:sz="4" w:space="0" w:color="1A3C5E"/>
              <w:bottom w:val="single" w:sz="4" w:space="0" w:color="1A3C5E"/>
              <w:left w:val="single" w:sz="4" w:space="0" w:color="1A3C5E"/>
              <w:right w:val="single" w:sz="4" w:space="0" w:color="1A3C5E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5"/>
              </w:rPr>
              <w:t>Theme</w:t>
            </w:r>
          </w:p>
        </w:tc>
        <w:tc>
          <w:tcPr>
            <w:tcW w:type="dxa" w:w="6048"/>
            <w:shd w:fill="1A3C5E"/>
            <w:tcBorders>
              <w:top w:val="single" w:sz="4" w:space="0" w:color="1A3C5E"/>
              <w:bottom w:val="single" w:sz="4" w:space="0" w:color="1A3C5E"/>
              <w:left w:val="single" w:sz="4" w:space="0" w:color="1A3C5E"/>
              <w:right w:val="single" w:sz="4" w:space="0" w:color="1A3C5E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5"/>
              </w:rPr>
              <w:t>Reason</w:t>
            </w:r>
          </w:p>
        </w:tc>
      </w:tr>
      <w:tr>
        <w:trPr>
          <w:trHeight w:val="255"/>
        </w:trPr>
        <w:tc>
          <w:tcPr>
            <w:tcW w:type="dxa" w:w="432"/>
            <w:shd w:fill="FDEDE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/>
            <w:r>
              <w:rPr>
                <w:b/>
                <w:sz w:val="15"/>
              </w:rPr>
              <w:t>-</w:t>
            </w:r>
          </w:p>
        </w:tc>
        <w:tc>
          <w:tcPr>
            <w:tcW w:type="dxa" w:w="720"/>
            <w:shd w:fill="FDEDE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IGV</w:t>
            </w:r>
          </w:p>
        </w:tc>
        <w:tc>
          <w:tcPr>
            <w:tcW w:type="dxa" w:w="1728"/>
            <w:shd w:fill="FDEDE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Software</w:t>
            </w:r>
          </w:p>
        </w:tc>
        <w:tc>
          <w:tcPr>
            <w:tcW w:type="dxa" w:w="6048"/>
            <w:shd w:fill="FDEDE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Software; 0.85+ corr to QQQ, only held once in 6 months</w:t>
            </w:r>
          </w:p>
        </w:tc>
      </w:tr>
      <w:tr>
        <w:trPr>
          <w:trHeight w:val="255"/>
        </w:trPr>
        <w:tc>
          <w:tcPr>
            <w:tcW w:type="dxa" w:w="432"/>
            <w:shd w:fill="FDEDE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/>
            <w:r>
              <w:rPr>
                <w:b/>
                <w:sz w:val="15"/>
              </w:rPr>
              <w:t>-</w:t>
            </w:r>
          </w:p>
        </w:tc>
        <w:tc>
          <w:tcPr>
            <w:tcW w:type="dxa" w:w="720"/>
            <w:shd w:fill="FDEDE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IAI</w:t>
            </w:r>
          </w:p>
        </w:tc>
        <w:tc>
          <w:tcPr>
            <w:tcW w:type="dxa" w:w="1728"/>
            <w:shd w:fill="FDEDE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Broker-Dealers</w:t>
            </w:r>
          </w:p>
        </w:tc>
        <w:tc>
          <w:tcPr>
            <w:tcW w:type="dxa" w:w="6048"/>
            <w:shd w:fill="FDEDE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Broker-dealers; high overlap with financials/QQQ, only held once</w:t>
            </w:r>
          </w:p>
        </w:tc>
      </w:tr>
      <w:tr>
        <w:trPr>
          <w:trHeight w:val="255"/>
        </w:trPr>
        <w:tc>
          <w:tcPr>
            <w:tcW w:type="dxa" w:w="432"/>
            <w:shd w:fill="FDEDE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/>
            <w:r>
              <w:rPr>
                <w:b/>
                <w:sz w:val="15"/>
              </w:rPr>
              <w:t>-</w:t>
            </w:r>
          </w:p>
        </w:tc>
        <w:tc>
          <w:tcPr>
            <w:tcW w:type="dxa" w:w="720"/>
            <w:shd w:fill="FDEDE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SOXX</w:t>
            </w:r>
          </w:p>
        </w:tc>
        <w:tc>
          <w:tcPr>
            <w:tcW w:type="dxa" w:w="1728"/>
            <w:shd w:fill="FDEDE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Semiconductors (alt)</w:t>
            </w:r>
          </w:p>
        </w:tc>
        <w:tc>
          <w:tcPr>
            <w:tcW w:type="dxa" w:w="6048"/>
            <w:shd w:fill="FDEDE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Semiconductors; 0.95+ corr to SMH (already in universe), never held</w:t>
            </w:r>
          </w:p>
        </w:tc>
      </w:tr>
    </w:tbl>
    <w:p>
      <w:pPr>
        <w:spacing w:before="120" w:after="40"/>
      </w:pPr>
      <w:r>
        <w:rPr>
          <w:b/>
          <w:color w:val="1A3C5E"/>
          <w:sz w:val="19"/>
        </w:rPr>
        <w:t>Correlation Impact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rHeight w:val="255"/>
        </w:trPr>
        <w:tc>
          <w:tcPr>
            <w:tcW w:type="dxa" w:w="3600"/>
            <w:shd w:fill="1A3C5E"/>
            <w:tcBorders>
              <w:top w:val="single" w:sz="4" w:space="0" w:color="1A3C5E"/>
              <w:bottom w:val="single" w:sz="4" w:space="0" w:color="1A3C5E"/>
              <w:left w:val="single" w:sz="4" w:space="0" w:color="1A3C5E"/>
              <w:right w:val="single" w:sz="4" w:space="0" w:color="1A3C5E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5"/>
              </w:rPr>
              <w:t>Metric</w:t>
            </w:r>
          </w:p>
        </w:tc>
        <w:tc>
          <w:tcPr>
            <w:tcW w:type="dxa" w:w="2160"/>
            <w:shd w:fill="1A3C5E"/>
            <w:tcBorders>
              <w:top w:val="single" w:sz="4" w:space="0" w:color="1A3C5E"/>
              <w:bottom w:val="single" w:sz="4" w:space="0" w:color="1A3C5E"/>
              <w:left w:val="single" w:sz="4" w:space="0" w:color="1A3C5E"/>
              <w:right w:val="single" w:sz="4" w:space="0" w:color="1A3C5E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5"/>
              </w:rPr>
              <w:t>Current</w:t>
              <w:br/>
              <w:t>(13 ETFs)</w:t>
            </w:r>
          </w:p>
        </w:tc>
        <w:tc>
          <w:tcPr>
            <w:tcW w:type="dxa" w:w="2160"/>
            <w:shd w:fill="1A3C5E"/>
            <w:tcBorders>
              <w:top w:val="single" w:sz="4" w:space="0" w:color="1A3C5E"/>
              <w:bottom w:val="single" w:sz="4" w:space="0" w:color="1A3C5E"/>
              <w:left w:val="single" w:sz="4" w:space="0" w:color="1A3C5E"/>
              <w:right w:val="single" w:sz="4" w:space="0" w:color="1A3C5E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5"/>
              </w:rPr>
              <w:t>Proposed</w:t>
              <w:br/>
              <w:t>(18 ETFs)</w:t>
            </w:r>
          </w:p>
        </w:tc>
      </w:tr>
      <w:tr>
        <w:trPr>
          <w:trHeight w:val="255"/>
        </w:trPr>
        <w:tc>
          <w:tcPr>
            <w:tcW w:type="dxa" w:w="360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/>
            <w:r>
              <w:rPr>
                <w:b/>
                <w:sz w:val="15"/>
              </w:rPr>
              <w:t>Avg Pairwise Correlation</w:t>
            </w:r>
          </w:p>
        </w:tc>
        <w:tc>
          <w:tcPr>
            <w:tcW w:type="dxa" w:w="216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0.551</w:t>
            </w:r>
          </w:p>
        </w:tc>
        <w:tc>
          <w:tcPr>
            <w:tcW w:type="dxa" w:w="216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0.464</w:t>
            </w:r>
          </w:p>
        </w:tc>
      </w:tr>
      <w:tr>
        <w:trPr>
          <w:trHeight w:val="255"/>
        </w:trPr>
        <w:tc>
          <w:tcPr>
            <w:tcW w:type="dxa" w:w="360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/>
            <w:r>
              <w:rPr>
                <w:b/>
                <w:sz w:val="15"/>
              </w:rPr>
              <w:t>Median Pairwise Correlation</w:t>
            </w:r>
          </w:p>
        </w:tc>
        <w:tc>
          <w:tcPr>
            <w:tcW w:type="dxa" w:w="216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0.545</w:t>
            </w:r>
          </w:p>
        </w:tc>
        <w:tc>
          <w:tcPr>
            <w:tcW w:type="dxa" w:w="216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0.488</w:t>
            </w:r>
          </w:p>
        </w:tc>
      </w:tr>
      <w:tr>
        <w:trPr>
          <w:trHeight w:val="255"/>
        </w:trPr>
        <w:tc>
          <w:tcPr>
            <w:tcW w:type="dxa" w:w="360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/>
            <w:r>
              <w:rPr>
                <w:b/>
                <w:sz w:val="15"/>
              </w:rPr>
              <w:t>Pairs with r &gt; 0.70</w:t>
            </w:r>
          </w:p>
        </w:tc>
        <w:tc>
          <w:tcPr>
            <w:tcW w:type="dxa" w:w="216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12</w:t>
            </w:r>
          </w:p>
        </w:tc>
        <w:tc>
          <w:tcPr>
            <w:tcW w:type="dxa" w:w="216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15</w:t>
            </w:r>
          </w:p>
        </w:tc>
      </w:tr>
      <w:tr>
        <w:trPr>
          <w:trHeight w:val="255"/>
        </w:trPr>
        <w:tc>
          <w:tcPr>
            <w:tcW w:type="dxa" w:w="360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/>
            <w:r>
              <w:rPr>
                <w:b/>
                <w:sz w:val="15"/>
              </w:rPr>
              <w:t>Pairs with r &gt; 0.85</w:t>
            </w:r>
          </w:p>
        </w:tc>
        <w:tc>
          <w:tcPr>
            <w:tcW w:type="dxa" w:w="216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1</w:t>
            </w:r>
          </w:p>
        </w:tc>
        <w:tc>
          <w:tcPr>
            <w:tcW w:type="dxa" w:w="216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1</w:t>
            </w:r>
          </w:p>
        </w:tc>
      </w:tr>
    </w:tbl>
    <w:p>
      <w:pPr>
        <w:spacing w:before="120" w:after="40"/>
      </w:pPr>
      <w:r>
        <w:rPr>
          <w:b/>
          <w:color w:val="1A3C5E"/>
          <w:sz w:val="19"/>
        </w:rPr>
        <w:t>Current Universe: High-Correlation Pairs (r &gt; 0.70)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rHeight w:val="255"/>
        </w:trPr>
        <w:tc>
          <w:tcPr>
            <w:tcW w:type="dxa" w:w="2160"/>
            <w:shd w:fill="1A3C5E"/>
            <w:tcBorders>
              <w:top w:val="single" w:sz="4" w:space="0" w:color="1A3C5E"/>
              <w:bottom w:val="single" w:sz="4" w:space="0" w:color="1A3C5E"/>
              <w:left w:val="single" w:sz="4" w:space="0" w:color="1A3C5E"/>
              <w:right w:val="single" w:sz="4" w:space="0" w:color="1A3C5E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5"/>
              </w:rPr>
              <w:t>Pair</w:t>
            </w:r>
          </w:p>
        </w:tc>
        <w:tc>
          <w:tcPr>
            <w:tcW w:type="dxa" w:w="1440"/>
            <w:shd w:fill="1A3C5E"/>
            <w:tcBorders>
              <w:top w:val="single" w:sz="4" w:space="0" w:color="1A3C5E"/>
              <w:bottom w:val="single" w:sz="4" w:space="0" w:color="1A3C5E"/>
              <w:left w:val="single" w:sz="4" w:space="0" w:color="1A3C5E"/>
              <w:right w:val="single" w:sz="4" w:space="0" w:color="1A3C5E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5"/>
              </w:rPr>
              <w:t>Correlation</w:t>
            </w:r>
          </w:p>
        </w:tc>
        <w:tc>
          <w:tcPr>
            <w:tcW w:type="dxa" w:w="5328"/>
            <w:shd w:fill="1A3C5E"/>
            <w:tcBorders>
              <w:top w:val="single" w:sz="4" w:space="0" w:color="1A3C5E"/>
              <w:bottom w:val="single" w:sz="4" w:space="0" w:color="1A3C5E"/>
              <w:left w:val="single" w:sz="4" w:space="0" w:color="1A3C5E"/>
              <w:right w:val="single" w:sz="4" w:space="0" w:color="1A3C5E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5"/>
              </w:rPr>
              <w:t>Issue</w:t>
            </w:r>
          </w:p>
        </w:tc>
      </w:tr>
      <w:tr>
        <w:trPr>
          <w:trHeight w:val="255"/>
        </w:trPr>
        <w:tc>
          <w:tcPr>
            <w:tcW w:type="dxa" w:w="216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/>
            <w:r>
              <w:rPr>
                <w:b/>
                <w:sz w:val="15"/>
              </w:rPr>
              <w:t>SMH / SOXX</w:t>
            </w:r>
          </w:p>
        </w:tc>
        <w:tc>
          <w:tcPr>
            <w:tcW w:type="dxa" w:w="144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+0.981</w:t>
            </w:r>
          </w:p>
        </w:tc>
        <w:tc>
          <w:tcPr>
            <w:tcW w:type="dxa" w:w="532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Near-identical exposure</w:t>
            </w:r>
          </w:p>
        </w:tc>
      </w:tr>
      <w:tr>
        <w:trPr>
          <w:trHeight w:val="255"/>
        </w:trPr>
        <w:tc>
          <w:tcPr>
            <w:tcW w:type="dxa" w:w="216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/>
            <w:r>
              <w:rPr>
                <w:b/>
                <w:sz w:val="15"/>
              </w:rPr>
              <w:t>ARKK / IWO</w:t>
            </w:r>
          </w:p>
        </w:tc>
        <w:tc>
          <w:tcPr>
            <w:tcW w:type="dxa" w:w="144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+0.846</w:t>
            </w:r>
          </w:p>
        </w:tc>
        <w:tc>
          <w:tcPr>
            <w:tcW w:type="dxa" w:w="532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Significant overlap</w:t>
            </w:r>
          </w:p>
        </w:tc>
      </w:tr>
      <w:tr>
        <w:trPr>
          <w:trHeight w:val="255"/>
        </w:trPr>
        <w:tc>
          <w:tcPr>
            <w:tcW w:type="dxa" w:w="216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/>
            <w:r>
              <w:rPr>
                <w:b/>
                <w:sz w:val="15"/>
              </w:rPr>
              <w:t>EFV / SDIV</w:t>
            </w:r>
          </w:p>
        </w:tc>
        <w:tc>
          <w:tcPr>
            <w:tcW w:type="dxa" w:w="144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+0.794</w:t>
            </w:r>
          </w:p>
        </w:tc>
        <w:tc>
          <w:tcPr>
            <w:tcW w:type="dxa" w:w="532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Significant overlap</w:t>
            </w:r>
          </w:p>
        </w:tc>
      </w:tr>
      <w:tr>
        <w:trPr>
          <w:trHeight w:val="255"/>
        </w:trPr>
        <w:tc>
          <w:tcPr>
            <w:tcW w:type="dxa" w:w="216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/>
            <w:r>
              <w:rPr>
                <w:b/>
                <w:sz w:val="15"/>
              </w:rPr>
              <w:t>IWO / IAI</w:t>
            </w:r>
          </w:p>
        </w:tc>
        <w:tc>
          <w:tcPr>
            <w:tcW w:type="dxa" w:w="144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+0.794</w:t>
            </w:r>
          </w:p>
        </w:tc>
        <w:tc>
          <w:tcPr>
            <w:tcW w:type="dxa" w:w="532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Significant overlap</w:t>
            </w:r>
          </w:p>
        </w:tc>
      </w:tr>
      <w:tr>
        <w:trPr>
          <w:trHeight w:val="255"/>
        </w:trPr>
        <w:tc>
          <w:tcPr>
            <w:tcW w:type="dxa" w:w="216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/>
            <w:r>
              <w:rPr>
                <w:b/>
                <w:sz w:val="15"/>
              </w:rPr>
              <w:t>ARKK / IGV</w:t>
            </w:r>
          </w:p>
        </w:tc>
        <w:tc>
          <w:tcPr>
            <w:tcW w:type="dxa" w:w="144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+0.775</w:t>
            </w:r>
          </w:p>
        </w:tc>
        <w:tc>
          <w:tcPr>
            <w:tcW w:type="dxa" w:w="532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Significant overlap</w:t>
            </w:r>
          </w:p>
        </w:tc>
      </w:tr>
      <w:tr>
        <w:trPr>
          <w:trHeight w:val="255"/>
        </w:trPr>
        <w:tc>
          <w:tcPr>
            <w:tcW w:type="dxa" w:w="216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/>
            <w:r>
              <w:rPr>
                <w:b/>
                <w:sz w:val="15"/>
              </w:rPr>
              <w:t>ARKK / IAI</w:t>
            </w:r>
          </w:p>
        </w:tc>
        <w:tc>
          <w:tcPr>
            <w:tcW w:type="dxa" w:w="144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+0.760</w:t>
            </w:r>
          </w:p>
        </w:tc>
        <w:tc>
          <w:tcPr>
            <w:tcW w:type="dxa" w:w="532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Significant overlap</w:t>
            </w:r>
          </w:p>
        </w:tc>
      </w:tr>
      <w:tr>
        <w:trPr>
          <w:trHeight w:val="255"/>
        </w:trPr>
        <w:tc>
          <w:tcPr>
            <w:tcW w:type="dxa" w:w="216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/>
            <w:r>
              <w:rPr>
                <w:b/>
                <w:sz w:val="15"/>
              </w:rPr>
              <w:t>IWO / SOXX</w:t>
            </w:r>
          </w:p>
        </w:tc>
        <w:tc>
          <w:tcPr>
            <w:tcW w:type="dxa" w:w="144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+0.743</w:t>
            </w:r>
          </w:p>
        </w:tc>
        <w:tc>
          <w:tcPr>
            <w:tcW w:type="dxa" w:w="532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</w:r>
          </w:p>
        </w:tc>
      </w:tr>
      <w:tr>
        <w:trPr>
          <w:trHeight w:val="255"/>
        </w:trPr>
        <w:tc>
          <w:tcPr>
            <w:tcW w:type="dxa" w:w="216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/>
            <w:r>
              <w:rPr>
                <w:b/>
                <w:sz w:val="15"/>
              </w:rPr>
              <w:t>IWO / IGV</w:t>
            </w:r>
          </w:p>
        </w:tc>
        <w:tc>
          <w:tcPr>
            <w:tcW w:type="dxa" w:w="144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+0.739</w:t>
            </w:r>
          </w:p>
        </w:tc>
        <w:tc>
          <w:tcPr>
            <w:tcW w:type="dxa" w:w="532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</w:r>
          </w:p>
        </w:tc>
      </w:tr>
      <w:tr>
        <w:trPr>
          <w:trHeight w:val="255"/>
        </w:trPr>
        <w:tc>
          <w:tcPr>
            <w:tcW w:type="dxa" w:w="216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/>
            <w:r>
              <w:rPr>
                <w:b/>
                <w:sz w:val="15"/>
              </w:rPr>
              <w:t>IGV / IAI</w:t>
            </w:r>
          </w:p>
        </w:tc>
        <w:tc>
          <w:tcPr>
            <w:tcW w:type="dxa" w:w="144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+0.721</w:t>
            </w:r>
          </w:p>
        </w:tc>
        <w:tc>
          <w:tcPr>
            <w:tcW w:type="dxa" w:w="532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</w:r>
          </w:p>
        </w:tc>
      </w:tr>
      <w:tr>
        <w:trPr>
          <w:trHeight w:val="255"/>
        </w:trPr>
        <w:tc>
          <w:tcPr>
            <w:tcW w:type="dxa" w:w="216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/>
            <w:r>
              <w:rPr>
                <w:b/>
                <w:sz w:val="15"/>
              </w:rPr>
              <w:t>XME / IWO</w:t>
            </w:r>
          </w:p>
        </w:tc>
        <w:tc>
          <w:tcPr>
            <w:tcW w:type="dxa" w:w="144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+0.714</w:t>
            </w:r>
          </w:p>
        </w:tc>
        <w:tc>
          <w:tcPr>
            <w:tcW w:type="dxa" w:w="532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</w:r>
          </w:p>
        </w:tc>
      </w:tr>
    </w:tbl>
    <w:p>
      <w:pPr>
        <w:spacing w:before="120" w:after="40"/>
      </w:pPr>
      <w:r>
        <w:rPr>
          <w:b/>
          <w:color w:val="1A3C5E"/>
          <w:sz w:val="19"/>
        </w:rPr>
        <w:t>Proposed Universe (18 ETFs)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rHeight w:val="255"/>
        </w:trPr>
        <w:tc>
          <w:tcPr>
            <w:tcW w:type="dxa" w:w="864"/>
            <w:shd w:fill="1A3C5E"/>
            <w:tcBorders>
              <w:top w:val="single" w:sz="4" w:space="0" w:color="1A3C5E"/>
              <w:bottom w:val="single" w:sz="4" w:space="0" w:color="1A3C5E"/>
              <w:left w:val="single" w:sz="4" w:space="0" w:color="1A3C5E"/>
              <w:right w:val="single" w:sz="4" w:space="0" w:color="1A3C5E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5"/>
              </w:rPr>
              <w:t>Ticker</w:t>
            </w:r>
          </w:p>
        </w:tc>
        <w:tc>
          <w:tcPr>
            <w:tcW w:type="dxa" w:w="2304"/>
            <w:shd w:fill="1A3C5E"/>
            <w:tcBorders>
              <w:top w:val="single" w:sz="4" w:space="0" w:color="1A3C5E"/>
              <w:bottom w:val="single" w:sz="4" w:space="0" w:color="1A3C5E"/>
              <w:left w:val="single" w:sz="4" w:space="0" w:color="1A3C5E"/>
              <w:right w:val="single" w:sz="4" w:space="0" w:color="1A3C5E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5"/>
              </w:rPr>
              <w:t>Theme</w:t>
            </w:r>
          </w:p>
        </w:tc>
        <w:tc>
          <w:tcPr>
            <w:tcW w:type="dxa" w:w="1008"/>
            <w:shd w:fill="1A3C5E"/>
            <w:tcBorders>
              <w:top w:val="single" w:sz="4" w:space="0" w:color="1A3C5E"/>
              <w:bottom w:val="single" w:sz="4" w:space="0" w:color="1A3C5E"/>
              <w:left w:val="single" w:sz="4" w:space="0" w:color="1A3C5E"/>
              <w:right w:val="single" w:sz="4" w:space="0" w:color="1A3C5E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5"/>
              </w:rPr>
              <w:t>SPY Corr</w:t>
            </w:r>
          </w:p>
        </w:tc>
        <w:tc>
          <w:tcPr>
            <w:tcW w:type="dxa" w:w="864"/>
            <w:shd w:fill="1A3C5E"/>
            <w:tcBorders>
              <w:top w:val="single" w:sz="4" w:space="0" w:color="1A3C5E"/>
              <w:bottom w:val="single" w:sz="4" w:space="0" w:color="1A3C5E"/>
              <w:left w:val="single" w:sz="4" w:space="0" w:color="1A3C5E"/>
              <w:right w:val="single" w:sz="4" w:space="0" w:color="1A3C5E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5"/>
              </w:rPr>
              <w:t>Status</w:t>
            </w:r>
          </w:p>
        </w:tc>
      </w:tr>
      <w:tr>
        <w:trPr>
          <w:trHeight w:val="255"/>
        </w:trPr>
        <w:tc>
          <w:tcPr>
            <w:tcW w:type="dxa" w:w="86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/>
            <w:r>
              <w:rPr>
                <w:b/>
                <w:sz w:val="15"/>
              </w:rPr>
              <w:t>SIL</w:t>
            </w:r>
          </w:p>
        </w:tc>
        <w:tc>
          <w:tcPr>
            <w:tcW w:type="dxa" w:w="230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Silver Miners</w:t>
            </w:r>
          </w:p>
        </w:tc>
        <w:tc>
          <w:tcPr>
            <w:tcW w:type="dxa" w:w="100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+0.32</w:t>
            </w:r>
          </w:p>
        </w:tc>
        <w:tc>
          <w:tcPr>
            <w:tcW w:type="dxa" w:w="86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Keep</w:t>
            </w:r>
          </w:p>
        </w:tc>
      </w:tr>
      <w:tr>
        <w:trPr>
          <w:trHeight w:val="255"/>
        </w:trPr>
        <w:tc>
          <w:tcPr>
            <w:tcW w:type="dxa" w:w="86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/>
            <w:r>
              <w:rPr>
                <w:b/>
                <w:sz w:val="15"/>
              </w:rPr>
              <w:t>SMH</w:t>
            </w:r>
          </w:p>
        </w:tc>
        <w:tc>
          <w:tcPr>
            <w:tcW w:type="dxa" w:w="230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Semiconductors</w:t>
            </w:r>
          </w:p>
        </w:tc>
        <w:tc>
          <w:tcPr>
            <w:tcW w:type="dxa" w:w="100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+0.82</w:t>
            </w:r>
          </w:p>
        </w:tc>
        <w:tc>
          <w:tcPr>
            <w:tcW w:type="dxa" w:w="86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Keep</w:t>
            </w:r>
          </w:p>
        </w:tc>
      </w:tr>
      <w:tr>
        <w:trPr>
          <w:trHeight w:val="255"/>
        </w:trPr>
        <w:tc>
          <w:tcPr>
            <w:tcW w:type="dxa" w:w="86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/>
            <w:r>
              <w:rPr>
                <w:b/>
                <w:sz w:val="15"/>
              </w:rPr>
              <w:t>XME</w:t>
            </w:r>
          </w:p>
        </w:tc>
        <w:tc>
          <w:tcPr>
            <w:tcW w:type="dxa" w:w="230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Metals &amp; Mining</w:t>
            </w:r>
          </w:p>
        </w:tc>
        <w:tc>
          <w:tcPr>
            <w:tcW w:type="dxa" w:w="100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+0.60</w:t>
            </w:r>
          </w:p>
        </w:tc>
        <w:tc>
          <w:tcPr>
            <w:tcW w:type="dxa" w:w="86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Keep</w:t>
            </w:r>
          </w:p>
        </w:tc>
      </w:tr>
      <w:tr>
        <w:trPr>
          <w:trHeight w:val="255"/>
        </w:trPr>
        <w:tc>
          <w:tcPr>
            <w:tcW w:type="dxa" w:w="86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/>
            <w:r>
              <w:rPr>
                <w:b/>
                <w:sz w:val="15"/>
              </w:rPr>
              <w:t>ITA</w:t>
            </w:r>
          </w:p>
        </w:tc>
        <w:tc>
          <w:tcPr>
            <w:tcW w:type="dxa" w:w="230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Aerospace &amp; Defense</w:t>
            </w:r>
          </w:p>
        </w:tc>
        <w:tc>
          <w:tcPr>
            <w:tcW w:type="dxa" w:w="100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+0.68</w:t>
            </w:r>
          </w:p>
        </w:tc>
        <w:tc>
          <w:tcPr>
            <w:tcW w:type="dxa" w:w="86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Keep</w:t>
            </w:r>
          </w:p>
        </w:tc>
      </w:tr>
      <w:tr>
        <w:trPr>
          <w:trHeight w:val="255"/>
        </w:trPr>
        <w:tc>
          <w:tcPr>
            <w:tcW w:type="dxa" w:w="86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/>
            <w:r>
              <w:rPr>
                <w:b/>
                <w:sz w:val="15"/>
              </w:rPr>
              <w:t>IBB</w:t>
            </w:r>
          </w:p>
        </w:tc>
        <w:tc>
          <w:tcPr>
            <w:tcW w:type="dxa" w:w="230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Biotech</w:t>
            </w:r>
          </w:p>
        </w:tc>
        <w:tc>
          <w:tcPr>
            <w:tcW w:type="dxa" w:w="100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+0.62</w:t>
            </w:r>
          </w:p>
        </w:tc>
        <w:tc>
          <w:tcPr>
            <w:tcW w:type="dxa" w:w="86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Keep</w:t>
            </w:r>
          </w:p>
        </w:tc>
      </w:tr>
      <w:tr>
        <w:trPr>
          <w:trHeight w:val="255"/>
        </w:trPr>
        <w:tc>
          <w:tcPr>
            <w:tcW w:type="dxa" w:w="86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/>
            <w:r>
              <w:rPr>
                <w:b/>
                <w:sz w:val="15"/>
              </w:rPr>
              <w:t>ARKK</w:t>
            </w:r>
          </w:p>
        </w:tc>
        <w:tc>
          <w:tcPr>
            <w:tcW w:type="dxa" w:w="230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Innovation / Growth</w:t>
            </w:r>
          </w:p>
        </w:tc>
        <w:tc>
          <w:tcPr>
            <w:tcW w:type="dxa" w:w="100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+0.79</w:t>
            </w:r>
          </w:p>
        </w:tc>
        <w:tc>
          <w:tcPr>
            <w:tcW w:type="dxa" w:w="86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Keep</w:t>
            </w:r>
          </w:p>
        </w:tc>
      </w:tr>
      <w:tr>
        <w:trPr>
          <w:trHeight w:val="255"/>
        </w:trPr>
        <w:tc>
          <w:tcPr>
            <w:tcW w:type="dxa" w:w="86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/>
            <w:r>
              <w:rPr>
                <w:b/>
                <w:sz w:val="15"/>
              </w:rPr>
              <w:t>ILF</w:t>
            </w:r>
          </w:p>
        </w:tc>
        <w:tc>
          <w:tcPr>
            <w:tcW w:type="dxa" w:w="230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Latin America</w:t>
            </w:r>
          </w:p>
        </w:tc>
        <w:tc>
          <w:tcPr>
            <w:tcW w:type="dxa" w:w="100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+0.55</w:t>
            </w:r>
          </w:p>
        </w:tc>
        <w:tc>
          <w:tcPr>
            <w:tcW w:type="dxa" w:w="86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Keep</w:t>
            </w:r>
          </w:p>
        </w:tc>
      </w:tr>
      <w:tr>
        <w:trPr>
          <w:trHeight w:val="255"/>
        </w:trPr>
        <w:tc>
          <w:tcPr>
            <w:tcW w:type="dxa" w:w="86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/>
            <w:r>
              <w:rPr>
                <w:b/>
                <w:sz w:val="15"/>
              </w:rPr>
              <w:t>EFV</w:t>
            </w:r>
          </w:p>
        </w:tc>
        <w:tc>
          <w:tcPr>
            <w:tcW w:type="dxa" w:w="230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Intl Value (EAFE)</w:t>
            </w:r>
          </w:p>
        </w:tc>
        <w:tc>
          <w:tcPr>
            <w:tcW w:type="dxa" w:w="100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+0.66</w:t>
            </w:r>
          </w:p>
        </w:tc>
        <w:tc>
          <w:tcPr>
            <w:tcW w:type="dxa" w:w="86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Keep</w:t>
            </w:r>
          </w:p>
        </w:tc>
      </w:tr>
      <w:tr>
        <w:trPr>
          <w:trHeight w:val="255"/>
        </w:trPr>
        <w:tc>
          <w:tcPr>
            <w:tcW w:type="dxa" w:w="86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/>
            <w:r>
              <w:rPr>
                <w:b/>
                <w:sz w:val="15"/>
              </w:rPr>
              <w:t>IWO</w:t>
            </w:r>
          </w:p>
        </w:tc>
        <w:tc>
          <w:tcPr>
            <w:tcW w:type="dxa" w:w="230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Small Cap Growth</w:t>
            </w:r>
          </w:p>
        </w:tc>
        <w:tc>
          <w:tcPr>
            <w:tcW w:type="dxa" w:w="100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+0.84</w:t>
            </w:r>
          </w:p>
        </w:tc>
        <w:tc>
          <w:tcPr>
            <w:tcW w:type="dxa" w:w="86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Keep</w:t>
            </w:r>
          </w:p>
        </w:tc>
      </w:tr>
      <w:tr>
        <w:trPr>
          <w:trHeight w:val="255"/>
        </w:trPr>
        <w:tc>
          <w:tcPr>
            <w:tcW w:type="dxa" w:w="86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/>
            <w:r>
              <w:rPr>
                <w:b/>
                <w:sz w:val="15"/>
              </w:rPr>
              <w:t>SDIV</w:t>
            </w:r>
          </w:p>
        </w:tc>
        <w:tc>
          <w:tcPr>
            <w:tcW w:type="dxa" w:w="230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Global SuperDividend</w:t>
            </w:r>
          </w:p>
        </w:tc>
        <w:tc>
          <w:tcPr>
            <w:tcW w:type="dxa" w:w="100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+0.67</w:t>
            </w:r>
          </w:p>
        </w:tc>
        <w:tc>
          <w:tcPr>
            <w:tcW w:type="dxa" w:w="86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Keep</w:t>
            </w:r>
          </w:p>
        </w:tc>
      </w:tr>
      <w:tr>
        <w:trPr>
          <w:trHeight w:val="255"/>
        </w:trPr>
        <w:tc>
          <w:tcPr>
            <w:tcW w:type="dxa" w:w="864"/>
            <w:shd w:fill="E8F4E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/>
            <w:r>
              <w:rPr>
                <w:b/>
                <w:sz w:val="15"/>
              </w:rPr>
              <w:t>URNM</w:t>
            </w:r>
          </w:p>
        </w:tc>
        <w:tc>
          <w:tcPr>
            <w:tcW w:type="dxa" w:w="2304"/>
            <w:shd w:fill="E8F4E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Uranium / Nuclear</w:t>
            </w:r>
          </w:p>
        </w:tc>
        <w:tc>
          <w:tcPr>
            <w:tcW w:type="dxa" w:w="1008"/>
            <w:shd w:fill="E8F4E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+0.40</w:t>
            </w:r>
          </w:p>
        </w:tc>
        <w:tc>
          <w:tcPr>
            <w:tcW w:type="dxa" w:w="864"/>
            <w:shd w:fill="E8F4E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NEW</w:t>
            </w:r>
          </w:p>
        </w:tc>
      </w:tr>
      <w:tr>
        <w:trPr>
          <w:trHeight w:val="255"/>
        </w:trPr>
        <w:tc>
          <w:tcPr>
            <w:tcW w:type="dxa" w:w="864"/>
            <w:shd w:fill="E8F4E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/>
            <w:r>
              <w:rPr>
                <w:b/>
                <w:sz w:val="15"/>
              </w:rPr>
              <w:t>COPX</w:t>
            </w:r>
          </w:p>
        </w:tc>
        <w:tc>
          <w:tcPr>
            <w:tcW w:type="dxa" w:w="2304"/>
            <w:shd w:fill="E8F4E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Copper Miners</w:t>
            </w:r>
          </w:p>
        </w:tc>
        <w:tc>
          <w:tcPr>
            <w:tcW w:type="dxa" w:w="1008"/>
            <w:shd w:fill="E8F4E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+0.53</w:t>
            </w:r>
          </w:p>
        </w:tc>
        <w:tc>
          <w:tcPr>
            <w:tcW w:type="dxa" w:w="864"/>
            <w:shd w:fill="E8F4E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NEW</w:t>
            </w:r>
          </w:p>
        </w:tc>
      </w:tr>
      <w:tr>
        <w:trPr>
          <w:trHeight w:val="255"/>
        </w:trPr>
        <w:tc>
          <w:tcPr>
            <w:tcW w:type="dxa" w:w="864"/>
            <w:shd w:fill="E8F4E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/>
            <w:r>
              <w:rPr>
                <w:b/>
                <w:sz w:val="15"/>
              </w:rPr>
              <w:t>PAVE</w:t>
            </w:r>
          </w:p>
        </w:tc>
        <w:tc>
          <w:tcPr>
            <w:tcW w:type="dxa" w:w="2304"/>
            <w:shd w:fill="E8F4E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US Infrastructure</w:t>
            </w:r>
          </w:p>
        </w:tc>
        <w:tc>
          <w:tcPr>
            <w:tcW w:type="dxa" w:w="1008"/>
            <w:shd w:fill="E8F4E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+0.82</w:t>
            </w:r>
          </w:p>
        </w:tc>
        <w:tc>
          <w:tcPr>
            <w:tcW w:type="dxa" w:w="864"/>
            <w:shd w:fill="E8F4E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NEW</w:t>
            </w:r>
          </w:p>
        </w:tc>
      </w:tr>
      <w:tr>
        <w:trPr>
          <w:trHeight w:val="255"/>
        </w:trPr>
        <w:tc>
          <w:tcPr>
            <w:tcW w:type="dxa" w:w="864"/>
            <w:shd w:fill="E8F4E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/>
            <w:r>
              <w:rPr>
                <w:b/>
                <w:sz w:val="15"/>
              </w:rPr>
              <w:t>CIBR</w:t>
            </w:r>
          </w:p>
        </w:tc>
        <w:tc>
          <w:tcPr>
            <w:tcW w:type="dxa" w:w="2304"/>
            <w:shd w:fill="E8F4E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Cybersecurity</w:t>
            </w:r>
          </w:p>
        </w:tc>
        <w:tc>
          <w:tcPr>
            <w:tcW w:type="dxa" w:w="1008"/>
            <w:shd w:fill="E8F4E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+0.80</w:t>
            </w:r>
          </w:p>
        </w:tc>
        <w:tc>
          <w:tcPr>
            <w:tcW w:type="dxa" w:w="864"/>
            <w:shd w:fill="E8F4E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NEW</w:t>
            </w:r>
          </w:p>
        </w:tc>
      </w:tr>
      <w:tr>
        <w:trPr>
          <w:trHeight w:val="255"/>
        </w:trPr>
        <w:tc>
          <w:tcPr>
            <w:tcW w:type="dxa" w:w="864"/>
            <w:shd w:fill="E8F4E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/>
            <w:r>
              <w:rPr>
                <w:b/>
                <w:sz w:val="15"/>
              </w:rPr>
              <w:t>AMLP</w:t>
            </w:r>
          </w:p>
        </w:tc>
        <w:tc>
          <w:tcPr>
            <w:tcW w:type="dxa" w:w="2304"/>
            <w:shd w:fill="E8F4E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Midstream MLPs</w:t>
            </w:r>
          </w:p>
        </w:tc>
        <w:tc>
          <w:tcPr>
            <w:tcW w:type="dxa" w:w="1008"/>
            <w:shd w:fill="E8F4E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+0.54</w:t>
            </w:r>
          </w:p>
        </w:tc>
        <w:tc>
          <w:tcPr>
            <w:tcW w:type="dxa" w:w="864"/>
            <w:shd w:fill="E8F4E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NEW</w:t>
            </w:r>
          </w:p>
        </w:tc>
      </w:tr>
      <w:tr>
        <w:trPr>
          <w:trHeight w:val="255"/>
        </w:trPr>
        <w:tc>
          <w:tcPr>
            <w:tcW w:type="dxa" w:w="864"/>
            <w:shd w:fill="E8F4E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/>
            <w:r>
              <w:rPr>
                <w:b/>
                <w:sz w:val="15"/>
              </w:rPr>
              <w:t>EMXC</w:t>
            </w:r>
          </w:p>
        </w:tc>
        <w:tc>
          <w:tcPr>
            <w:tcW w:type="dxa" w:w="2304"/>
            <w:shd w:fill="E8F4E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EM ex-China</w:t>
            </w:r>
          </w:p>
        </w:tc>
        <w:tc>
          <w:tcPr>
            <w:tcW w:type="dxa" w:w="1008"/>
            <w:shd w:fill="E8F4E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+0.74</w:t>
            </w:r>
          </w:p>
        </w:tc>
        <w:tc>
          <w:tcPr>
            <w:tcW w:type="dxa" w:w="864"/>
            <w:shd w:fill="E8F4E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NEW</w:t>
            </w:r>
          </w:p>
        </w:tc>
      </w:tr>
      <w:tr>
        <w:trPr>
          <w:trHeight w:val="255"/>
        </w:trPr>
        <w:tc>
          <w:tcPr>
            <w:tcW w:type="dxa" w:w="864"/>
            <w:shd w:fill="E8F4E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/>
            <w:r>
              <w:rPr>
                <w:b/>
                <w:sz w:val="15"/>
              </w:rPr>
              <w:t>GLDM</w:t>
            </w:r>
          </w:p>
        </w:tc>
        <w:tc>
          <w:tcPr>
            <w:tcW w:type="dxa" w:w="2304"/>
            <w:shd w:fill="E8F4E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Physical Gold</w:t>
            </w:r>
          </w:p>
        </w:tc>
        <w:tc>
          <w:tcPr>
            <w:tcW w:type="dxa" w:w="1008"/>
            <w:shd w:fill="E8F4E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+0.08</w:t>
            </w:r>
          </w:p>
        </w:tc>
        <w:tc>
          <w:tcPr>
            <w:tcW w:type="dxa" w:w="864"/>
            <w:shd w:fill="E8F4E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NEW</w:t>
            </w:r>
          </w:p>
        </w:tc>
      </w:tr>
      <w:tr>
        <w:trPr>
          <w:trHeight w:val="255"/>
        </w:trPr>
        <w:tc>
          <w:tcPr>
            <w:tcW w:type="dxa" w:w="864"/>
            <w:shd w:fill="E8F4E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/>
            <w:r>
              <w:rPr>
                <w:b/>
                <w:sz w:val="15"/>
              </w:rPr>
              <w:t>DBA</w:t>
            </w:r>
          </w:p>
        </w:tc>
        <w:tc>
          <w:tcPr>
            <w:tcW w:type="dxa" w:w="2304"/>
            <w:shd w:fill="E8F4E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Broad Agriculture</w:t>
            </w:r>
          </w:p>
        </w:tc>
        <w:tc>
          <w:tcPr>
            <w:tcW w:type="dxa" w:w="1008"/>
            <w:shd w:fill="E8F4E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+0.21</w:t>
            </w:r>
          </w:p>
        </w:tc>
        <w:tc>
          <w:tcPr>
            <w:tcW w:type="dxa" w:w="864"/>
            <w:shd w:fill="E8F4E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NEW</w:t>
            </w:r>
          </w:p>
        </w:tc>
      </w:tr>
    </w:tbl>
    <w:p>
      <w:pPr>
        <w:spacing w:before="120" w:after="40"/>
      </w:pPr>
      <w:r>
        <w:rPr>
          <w:b/>
          <w:color w:val="1A3C5E"/>
          <w:sz w:val="19"/>
        </w:rPr>
        <w:t>Tax-Loss Harvesting Pairs</w:t>
      </w:r>
    </w:p>
    <w:p>
      <w:pPr>
        <w:spacing w:after="40"/>
      </w:pPr>
      <w:r>
        <w:rPr>
          <w:sz w:val="16"/>
        </w:rPr>
        <w:t>TLH-only instruments (not in the rotation universe). On each momentum-driven rotation, screen exiting lots for unrealized losses and swap into the paired ETF to maintain exposure while harvesting the loss.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rHeight w:val="255"/>
        </w:trPr>
        <w:tc>
          <w:tcPr>
            <w:tcW w:type="dxa" w:w="1152"/>
            <w:shd w:fill="1A3C5E"/>
            <w:tcBorders>
              <w:top w:val="single" w:sz="4" w:space="0" w:color="1A3C5E"/>
              <w:bottom w:val="single" w:sz="4" w:space="0" w:color="1A3C5E"/>
              <w:left w:val="single" w:sz="4" w:space="0" w:color="1A3C5E"/>
              <w:right w:val="single" w:sz="4" w:space="0" w:color="1A3C5E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5"/>
              </w:rPr>
              <w:t>Primary</w:t>
            </w:r>
          </w:p>
        </w:tc>
        <w:tc>
          <w:tcPr>
            <w:tcW w:type="dxa" w:w="1152"/>
            <w:shd w:fill="1A3C5E"/>
            <w:tcBorders>
              <w:top w:val="single" w:sz="4" w:space="0" w:color="1A3C5E"/>
              <w:bottom w:val="single" w:sz="4" w:space="0" w:color="1A3C5E"/>
              <w:left w:val="single" w:sz="4" w:space="0" w:color="1A3C5E"/>
              <w:right w:val="single" w:sz="4" w:space="0" w:color="1A3C5E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5"/>
              </w:rPr>
              <w:t>TLH Swap</w:t>
            </w:r>
          </w:p>
        </w:tc>
        <w:tc>
          <w:tcPr>
            <w:tcW w:type="dxa" w:w="2880"/>
            <w:shd w:fill="1A3C5E"/>
            <w:tcBorders>
              <w:top w:val="single" w:sz="4" w:space="0" w:color="1A3C5E"/>
              <w:bottom w:val="single" w:sz="4" w:space="0" w:color="1A3C5E"/>
              <w:left w:val="single" w:sz="4" w:space="0" w:color="1A3C5E"/>
              <w:right w:val="single" w:sz="4" w:space="0" w:color="1A3C5E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5"/>
              </w:rPr>
              <w:t>Exposure</w:t>
            </w:r>
          </w:p>
        </w:tc>
      </w:tr>
      <w:tr>
        <w:trPr>
          <w:trHeight w:val="255"/>
        </w:trPr>
        <w:tc>
          <w:tcPr>
            <w:tcW w:type="dxa" w:w="115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/>
            <w:r>
              <w:rPr>
                <w:b/>
                <w:sz w:val="15"/>
              </w:rPr>
              <w:t>SMH</w:t>
            </w:r>
          </w:p>
        </w:tc>
        <w:tc>
          <w:tcPr>
            <w:tcW w:type="dxa" w:w="115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SOXX</w:t>
            </w:r>
          </w:p>
        </w:tc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Semiconductors</w:t>
            </w:r>
          </w:p>
        </w:tc>
      </w:tr>
      <w:tr>
        <w:trPr>
          <w:trHeight w:val="255"/>
        </w:trPr>
        <w:tc>
          <w:tcPr>
            <w:tcW w:type="dxa" w:w="115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/>
            <w:r>
              <w:rPr>
                <w:b/>
                <w:sz w:val="15"/>
              </w:rPr>
              <w:t>IBB</w:t>
            </w:r>
          </w:p>
        </w:tc>
        <w:tc>
          <w:tcPr>
            <w:tcW w:type="dxa" w:w="115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XBI</w:t>
            </w:r>
          </w:p>
        </w:tc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Biotech</w:t>
            </w:r>
          </w:p>
        </w:tc>
      </w:tr>
      <w:tr>
        <w:trPr>
          <w:trHeight w:val="255"/>
        </w:trPr>
        <w:tc>
          <w:tcPr>
            <w:tcW w:type="dxa" w:w="115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/>
            <w:r>
              <w:rPr>
                <w:b/>
                <w:sz w:val="15"/>
              </w:rPr>
              <w:t>SIL</w:t>
            </w:r>
          </w:p>
        </w:tc>
        <w:tc>
          <w:tcPr>
            <w:tcW w:type="dxa" w:w="115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SILJ</w:t>
            </w:r>
          </w:p>
        </w:tc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Silver miners</w:t>
            </w:r>
          </w:p>
        </w:tc>
      </w:tr>
      <w:tr>
        <w:trPr>
          <w:trHeight w:val="255"/>
        </w:trPr>
        <w:tc>
          <w:tcPr>
            <w:tcW w:type="dxa" w:w="115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/>
            <w:r>
              <w:rPr>
                <w:b/>
                <w:sz w:val="15"/>
              </w:rPr>
              <w:t>XME</w:t>
            </w:r>
          </w:p>
        </w:tc>
        <w:tc>
          <w:tcPr>
            <w:tcW w:type="dxa" w:w="115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PICK</w:t>
            </w:r>
          </w:p>
        </w:tc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Metals &amp; mining</w:t>
            </w:r>
          </w:p>
        </w:tc>
      </w:tr>
      <w:tr>
        <w:trPr>
          <w:trHeight w:val="255"/>
        </w:trPr>
        <w:tc>
          <w:tcPr>
            <w:tcW w:type="dxa" w:w="115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/>
            <w:r>
              <w:rPr>
                <w:b/>
                <w:sz w:val="15"/>
              </w:rPr>
              <w:t>ITA</w:t>
            </w:r>
          </w:p>
        </w:tc>
        <w:tc>
          <w:tcPr>
            <w:tcW w:type="dxa" w:w="115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XAR</w:t>
            </w:r>
          </w:p>
        </w:tc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Aerospace &amp; defense</w:t>
            </w:r>
          </w:p>
        </w:tc>
      </w:tr>
      <w:tr>
        <w:trPr>
          <w:trHeight w:val="255"/>
        </w:trPr>
        <w:tc>
          <w:tcPr>
            <w:tcW w:type="dxa" w:w="115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/>
            <w:r>
              <w:rPr>
                <w:b/>
                <w:sz w:val="15"/>
              </w:rPr>
              <w:t>ARKK</w:t>
            </w:r>
          </w:p>
        </w:tc>
        <w:tc>
          <w:tcPr>
            <w:tcW w:type="dxa" w:w="115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QQQJ</w:t>
            </w:r>
          </w:p>
        </w:tc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Innovation / growth</w:t>
            </w:r>
          </w:p>
        </w:tc>
      </w:tr>
      <w:tr>
        <w:trPr>
          <w:trHeight w:val="255"/>
        </w:trPr>
        <w:tc>
          <w:tcPr>
            <w:tcW w:type="dxa" w:w="115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/>
            <w:r>
              <w:rPr>
                <w:b/>
                <w:sz w:val="15"/>
              </w:rPr>
              <w:t>IWO</w:t>
            </w:r>
          </w:p>
        </w:tc>
        <w:tc>
          <w:tcPr>
            <w:tcW w:type="dxa" w:w="115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VBK</w:t>
            </w:r>
          </w:p>
        </w:tc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Small cap growth</w:t>
            </w:r>
          </w:p>
        </w:tc>
      </w:tr>
      <w:tr>
        <w:trPr>
          <w:trHeight w:val="255"/>
        </w:trPr>
        <w:tc>
          <w:tcPr>
            <w:tcW w:type="dxa" w:w="115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/>
            <w:r>
              <w:rPr>
                <w:b/>
                <w:sz w:val="15"/>
              </w:rPr>
              <w:t>ILF</w:t>
            </w:r>
          </w:p>
        </w:tc>
        <w:tc>
          <w:tcPr>
            <w:tcW w:type="dxa" w:w="115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EWZ</w:t>
            </w:r>
          </w:p>
        </w:tc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Latin America</w:t>
            </w:r>
          </w:p>
        </w:tc>
      </w:tr>
      <w:tr>
        <w:trPr>
          <w:trHeight w:val="255"/>
        </w:trPr>
        <w:tc>
          <w:tcPr>
            <w:tcW w:type="dxa" w:w="115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/>
            <w:r>
              <w:rPr>
                <w:b/>
                <w:sz w:val="15"/>
              </w:rPr>
              <w:t>EFV</w:t>
            </w:r>
          </w:p>
        </w:tc>
        <w:tc>
          <w:tcPr>
            <w:tcW w:type="dxa" w:w="115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FNDF</w:t>
            </w:r>
          </w:p>
        </w:tc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Intl value</w:t>
            </w:r>
          </w:p>
        </w:tc>
      </w:tr>
      <w:tr>
        <w:trPr>
          <w:trHeight w:val="255"/>
        </w:trPr>
        <w:tc>
          <w:tcPr>
            <w:tcW w:type="dxa" w:w="115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/>
            <w:r>
              <w:rPr>
                <w:b/>
                <w:sz w:val="15"/>
              </w:rPr>
              <w:t>COPX</w:t>
            </w:r>
          </w:p>
        </w:tc>
        <w:tc>
          <w:tcPr>
            <w:tcW w:type="dxa" w:w="115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CPER</w:t>
            </w:r>
          </w:p>
        </w:tc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Copper miners</w:t>
            </w:r>
          </w:p>
        </w:tc>
      </w:tr>
      <w:tr>
        <w:trPr>
          <w:trHeight w:val="255"/>
        </w:trPr>
        <w:tc>
          <w:tcPr>
            <w:tcW w:type="dxa" w:w="115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/>
            <w:r>
              <w:rPr>
                <w:b/>
                <w:sz w:val="15"/>
              </w:rPr>
              <w:t>URNM</w:t>
            </w:r>
          </w:p>
        </w:tc>
        <w:tc>
          <w:tcPr>
            <w:tcW w:type="dxa" w:w="115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URA</w:t>
            </w:r>
          </w:p>
        </w:tc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Uranium</w:t>
            </w:r>
          </w:p>
        </w:tc>
      </w:tr>
      <w:tr>
        <w:trPr>
          <w:trHeight w:val="255"/>
        </w:trPr>
        <w:tc>
          <w:tcPr>
            <w:tcW w:type="dxa" w:w="115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/>
            <w:r>
              <w:rPr>
                <w:b/>
                <w:sz w:val="15"/>
              </w:rPr>
              <w:t>PAVE</w:t>
            </w:r>
          </w:p>
        </w:tc>
        <w:tc>
          <w:tcPr>
            <w:tcW w:type="dxa" w:w="115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IFRA</w:t>
            </w:r>
          </w:p>
        </w:tc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US infrastructure</w:t>
            </w:r>
          </w:p>
        </w:tc>
      </w:tr>
      <w:tr>
        <w:trPr>
          <w:trHeight w:val="255"/>
        </w:trPr>
        <w:tc>
          <w:tcPr>
            <w:tcW w:type="dxa" w:w="115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/>
            <w:r>
              <w:rPr>
                <w:b/>
                <w:sz w:val="15"/>
              </w:rPr>
              <w:t>CIBR</w:t>
            </w:r>
          </w:p>
        </w:tc>
        <w:tc>
          <w:tcPr>
            <w:tcW w:type="dxa" w:w="115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HACK</w:t>
            </w:r>
          </w:p>
        </w:tc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Cybersecurity</w:t>
            </w:r>
          </w:p>
        </w:tc>
      </w:tr>
      <w:tr>
        <w:trPr>
          <w:trHeight w:val="255"/>
        </w:trPr>
        <w:tc>
          <w:tcPr>
            <w:tcW w:type="dxa" w:w="115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/>
            <w:r>
              <w:rPr>
                <w:b/>
                <w:sz w:val="15"/>
              </w:rPr>
              <w:t>AMLP</w:t>
            </w:r>
          </w:p>
        </w:tc>
        <w:tc>
          <w:tcPr>
            <w:tcW w:type="dxa" w:w="115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MLPA</w:t>
            </w:r>
          </w:p>
        </w:tc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Midstream MLPs</w:t>
            </w:r>
          </w:p>
        </w:tc>
      </w:tr>
      <w:tr>
        <w:trPr>
          <w:trHeight w:val="255"/>
        </w:trPr>
        <w:tc>
          <w:tcPr>
            <w:tcW w:type="dxa" w:w="115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/>
            <w:r>
              <w:rPr>
                <w:b/>
                <w:sz w:val="15"/>
              </w:rPr>
              <w:t>EMXC</w:t>
            </w:r>
          </w:p>
        </w:tc>
        <w:tc>
          <w:tcPr>
            <w:tcW w:type="dxa" w:w="115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SCHE</w:t>
            </w:r>
          </w:p>
        </w:tc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EM ex-China</w:t>
            </w:r>
          </w:p>
        </w:tc>
      </w:tr>
      <w:tr>
        <w:trPr>
          <w:trHeight w:val="255"/>
        </w:trPr>
        <w:tc>
          <w:tcPr>
            <w:tcW w:type="dxa" w:w="115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/>
            <w:r>
              <w:rPr>
                <w:b/>
                <w:sz w:val="15"/>
              </w:rPr>
              <w:t>GLDM</w:t>
            </w:r>
          </w:p>
        </w:tc>
        <w:tc>
          <w:tcPr>
            <w:tcW w:type="dxa" w:w="115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IAU</w:t>
            </w:r>
          </w:p>
        </w:tc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Physical gold</w:t>
            </w:r>
          </w:p>
        </w:tc>
      </w:tr>
      <w:tr>
        <w:trPr>
          <w:trHeight w:val="255"/>
        </w:trPr>
        <w:tc>
          <w:tcPr>
            <w:tcW w:type="dxa" w:w="115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/>
            <w:r>
              <w:rPr>
                <w:b/>
                <w:sz w:val="15"/>
              </w:rPr>
              <w:t>DBA</w:t>
            </w:r>
          </w:p>
        </w:tc>
        <w:tc>
          <w:tcPr>
            <w:tcW w:type="dxa" w:w="115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PDBC</w:t>
            </w:r>
          </w:p>
        </w:tc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Agriculture</w:t>
            </w:r>
          </w:p>
        </w:tc>
      </w:tr>
    </w:tbl>
    <w:p>
      <w:pPr>
        <w:spacing w:before="0" w:after="40"/>
        <w:pBdr>
          <w:bottom w:val="single" w:sz="6" w:space="1" w:color="1A3C5E"/>
        </w:pBdr>
      </w:pPr>
    </w:p>
    <w:p>
      <w:r>
        <w:rPr>
          <w:b/>
          <w:color w:val="1A3C5E"/>
          <w:sz w:val="18"/>
        </w:rPr>
        <w:t xml:space="preserve">Bottom Line: </w:t>
      </w:r>
      <w:r>
        <w:rPr>
          <w:color w:val="333333"/>
          <w:sz w:val="18"/>
        </w:rPr>
        <w:t>Same signals, same rebalance cadence, same risk-off mechanics. The only change is what the fund can choose from. A broader, less correlated menu gives the momentum algorithm more room to find genuinely differentiated opportunities.</w:t>
      </w:r>
    </w:p>
    <w:p>
      <w:pPr>
        <w:spacing w:before="20" w:after="80"/>
      </w:pPr>
      <w:r>
        <w:rPr>
          <w:color w:val="666666"/>
          <w:sz w:val="14"/>
        </w:rPr>
        <w:t>Correlations computed on daily returns, 2024-02-26 to 2026-02-27 (~2 years). Source: Yahoo Finance. Past correlations do not guarantee future correlations.</w:t>
      </w:r>
    </w:p>
    <w:sectPr w:rsidR="00FC693F" w:rsidRPr="0006063C" w:rsidSect="00034616">
      <w:pgSz w:w="12240" w:h="15840"/>
      <w:pgMar w:top="737" w:right="1020" w:bottom="56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