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BEST IDEA SO FAR</w:t>
      </w:r>
    </w:p>
    <w:p>
      <w:pPr>
        <w:jc w:val="center"/>
      </w:pPr>
      <w:r>
        <w:rPr>
          <w:color w:val="646464"/>
          <w:sz w:val="20"/>
        </w:rPr>
        <w:t>International 40-ETF Blended-Lookback Dual Momentum</w:t>
        <w:br/>
        <w:t>Potomac Fund Management  |  March 2026</w:t>
      </w:r>
    </w:p>
    <w:p/>
    <w:p>
      <w:r>
        <w:rPr>
          <w:b/>
          <w:color w:val="1F4E79"/>
          <w:sz w:val="24"/>
        </w:rPr>
        <w:t>Strategy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40 international ETFs (24 developed, 16 EM) -- optimized for minimum pairwise correlation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Blended momentum: average of 1-month, 3-month, 6-month, and 12-month trailing returns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Ranking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All 40 ETFs ranked by composite score each month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Holdings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Top 7, equal-weight (~14.3% each)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Absolute Momentum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Composite score must be &gt; 0 to be held; failing slots go to BIL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Risk-Off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BIL (SPDR Bloomberg 1-3 Month T-Bill ETF)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Rebalance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Monthly (last trading day)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EFA (iShares MSCI EAFE)</w:t>
            </w:r>
          </w:p>
        </w:tc>
      </w:tr>
    </w:tbl>
    <w:p/>
    <w:p>
      <w:r>
        <w:rPr>
          <w:b/>
          <w:color w:val="1F4E79"/>
          <w:sz w:val="24"/>
        </w:rPr>
        <w:t>QuantConnect Backtest Results  (Jan 2016 - Feb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Compounding Annual Return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14.30%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Total Return (Net Profit)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289.0%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Max Drawdown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39.8%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Sharpe Ratio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0.508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Sortino Ratio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0.541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+4.9%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Annual Standard Deviation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Information Ratio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0.314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Tracking Error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Win Rate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58%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Profit-Loss Ratio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1.33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Total Orders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486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Total Fees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$12,580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Starting Equity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$1,000,000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Ending Equity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$3,890,450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Portfolio Turnover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1.88%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Estimated Capacity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$6.3M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Lowest Capacity Asset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LIT</w:t>
            </w:r>
          </w:p>
        </w:tc>
      </w:tr>
    </w:tbl>
    <w:p/>
    <w:p>
      <w:r>
        <w:rPr>
          <w:b/>
          <w:color w:val="1F4E79"/>
          <w:sz w:val="24"/>
        </w:rPr>
        <w:t>Universe Composition (40 ETFs)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C6E4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5256"/>
            <w:shd w:fill="2C6E4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Tickers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Dev Country (10)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EWJ, EWG, EWQ, EWI, EWD, EWL, EWP, EWH, EWS, EDEN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Dev Factor (1)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IHDG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Dev Thematic (13)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RING, SIL, URA, KXI, LIT, REMX, COPX, PICK, GNR, CGW, GII, INFL, MOO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EM Country (14)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EWT, EWZ, INDA, FXI, EWY, EWW, ILF, ECH, TUR, ARGT, VNM, THD, EWM, EIDO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EM Broad (2)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KSA, KWEB</w:t>
            </w:r>
          </w:p>
        </w:tc>
      </w:tr>
    </w:tbl>
    <w:p/>
    <w:p>
      <w:r>
        <w:rPr>
          <w:b/>
          <w:color w:val="1F4E79"/>
          <w:sz w:val="24"/>
        </w:rPr>
        <w:t>Correlation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Full candidate universe (71 ETFs)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0.5632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Trimmed universe (40 ETFs)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0.4750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Correlation reduction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-15.7%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Pairs &gt; 0.90 (full 71)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5256"/>
          </w:tcPr>
          <w:p>
            <w:r>
              <w:rPr>
                <w:sz w:val="18"/>
              </w:rPr>
              <w:t>Pairs &gt; 0.90 (trimmed 40)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Dev / EM split</w:t>
            </w:r>
          </w:p>
        </w:tc>
        <w:tc>
          <w:tcPr>
            <w:tcW w:type="dxa" w:w="5256"/>
            <w:shd w:fill="EBF5FB" w:val="clear"/>
          </w:tcPr>
          <w:p>
            <w:r>
              <w:rPr>
                <w:sz w:val="18"/>
              </w:rPr>
              <w:t>60% / 40%</w:t>
            </w:r>
          </w:p>
        </w:tc>
      </w:tr>
    </w:tbl>
    <w:p/>
    <w:p>
      <w:r>
        <w:rPr>
          <w:sz w:val="18"/>
        </w:rPr>
        <w:t xml:space="preserve">QuantConnect Backtest: </w:t>
      </w:r>
      <w:r>
        <w:rPr>
          <w:color w:val="0066CC"/>
          <w:sz w:val="18"/>
        </w:rPr>
        <w:t>https://www.quantconnect.com/terminal/28624941#open/912a29bf64b140adfb7a246246aa3dbd</w:t>
      </w:r>
    </w:p>
    <w:p>
      <w:r>
        <w:rPr>
          <w:color w:val="969696"/>
          <w:sz w:val="16"/>
        </w:rPr>
        <w:t>Project ID: 28624941  |  Backtest ID: 912a29bf64b140adfb7a246246aa3dbd</w:t>
      </w:r>
    </w:p>
    <w:sectPr w:rsidR="00FC693F" w:rsidRPr="0006063C" w:rsidSect="00034616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