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3C5E"/>
          <w:sz w:val="32"/>
        </w:rPr>
        <w:t>POTOMAC FUND MANAGEMENT</w:t>
      </w:r>
    </w:p>
    <w:p>
      <w:pPr>
        <w:spacing w:after="0"/>
      </w:pPr>
      <w:r>
        <w:rPr>
          <w:b/>
          <w:color w:val="333333"/>
          <w:sz w:val="26"/>
        </w:rPr>
        <w:t>CRTPX Backtest: Penta Tactical Signal + TLH</w:t>
      </w:r>
    </w:p>
    <w:p>
      <w:pPr>
        <w:spacing w:after="0"/>
      </w:pPr>
      <w:r>
        <w:rPr>
          <w:color w:val="666666"/>
          <w:sz w:val="20"/>
        </w:rPr>
        <w:t>February 2026  |  QuantConnect Backtest  |  June 2019 – February 2026</w:t>
      </w:r>
    </w:p>
    <w:p>
      <w:pPr>
        <w:spacing w:after="40"/>
      </w:pPr>
      <w:r>
        <w:rPr>
          <w:color w:val="666666"/>
          <w:sz w:val="20"/>
        </w:rPr>
        <w:t>Woody Wiegmann</w:t>
      </w:r>
    </w:p>
    <w:p>
      <w:pPr>
        <w:spacing w:before="0" w:after="80"/>
        <w:pBdr>
          <w:bottom w:val="single" w:sz="6" w:space="1" w:color="1A3C5E"/>
        </w:pBdr>
      </w:pPr>
    </w:p>
    <w:p>
      <w:pPr>
        <w:spacing w:after="40"/>
      </w:pPr>
      <w:r>
        <w:rPr>
          <w:b/>
          <w:color w:val="1A3C5E"/>
          <w:sz w:val="22"/>
        </w:rPr>
        <w:t>Signal Architecture</w:t>
      </w:r>
    </w:p>
    <w:p>
      <w:pPr>
        <w:spacing w:after="20"/>
        <w:ind w:left="216"/>
      </w:pPr>
      <w:r>
        <w:rPr>
          <w:b/>
          <w:sz w:val="18"/>
        </w:rPr>
        <w:t xml:space="preserve">Penta1: </w:t>
      </w:r>
      <w:r>
        <w:rPr>
          <w:sz w:val="18"/>
        </w:rPr>
        <w:t>SPY close &gt; 50-day SMA(SPY)  (Trend)</w:t>
      </w:r>
    </w:p>
    <w:p>
      <w:pPr>
        <w:spacing w:after="20"/>
        <w:ind w:left="216"/>
      </w:pPr>
      <w:r>
        <w:rPr>
          <w:b/>
          <w:sz w:val="18"/>
        </w:rPr>
        <w:t xml:space="preserve">Penta2: </w:t>
      </w:r>
      <w:r>
        <w:rPr>
          <w:sz w:val="18"/>
        </w:rPr>
        <w:t>IYT close &gt; 50-day SMA(IYT)  (Economic confirmation)</w:t>
      </w:r>
    </w:p>
    <w:p>
      <w:pPr>
        <w:spacing w:after="20"/>
        <w:ind w:left="216"/>
      </w:pPr>
      <w:r>
        <w:rPr>
          <w:b/>
          <w:sz w:val="18"/>
        </w:rPr>
        <w:t xml:space="preserve">Penta3: </w:t>
      </w:r>
      <w:r>
        <w:rPr>
          <w:sz w:val="18"/>
        </w:rPr>
        <w:t>^NYA close &gt; 50-day SMA(^NYA)  (NYSE breadth)</w:t>
      </w:r>
    </w:p>
    <w:p>
      <w:pPr>
        <w:spacing w:after="20"/>
        <w:ind w:left="216"/>
      </w:pPr>
      <w:r>
        <w:rPr>
          <w:b/>
          <w:sz w:val="18"/>
        </w:rPr>
        <w:t xml:space="preserve">Penta4: </w:t>
      </w:r>
      <w:r>
        <w:rPr>
          <w:sz w:val="18"/>
        </w:rPr>
        <w:t>LQD close &gt; 50-day SMA(LQD)  (Credit conditions)</w:t>
      </w:r>
    </w:p>
    <w:p>
      <w:pPr>
        <w:spacing w:before="80" w:after="120"/>
      </w:pPr>
      <w:r>
        <w:rPr>
          <w:b/>
          <w:sz w:val="18"/>
        </w:rPr>
        <w:t>Penta ON = 3+ of 4 green.  3-day confirmation (Sum/ExRem).  Risk-on: 100% VOO.  Risk-off: 100% SGOV.</w:t>
      </w:r>
    </w:p>
    <w:p>
      <w:pPr>
        <w:spacing w:after="40"/>
      </w:pPr>
      <w:r>
        <w:rPr>
          <w:b/>
          <w:color w:val="1A3C5E"/>
          <w:sz w:val="22"/>
        </w:rPr>
        <w:t>Backtest Results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283"/>
        </w:trPr>
        <w:tc>
          <w:tcPr>
            <w:tcW w:type="dxa" w:w="360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88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Compounding Annual Return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10.354%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Net Profit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93.091%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Drawdown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17.900%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Sharpe Ratio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0.408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Sortino Ratio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0.372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Alpha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0.014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Beta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0.332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Win Rate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65%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Loss Rate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35%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Average Win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2.18%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Average Loss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-1.77%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Total Fees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$5650.41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Portfolio Turnover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5.66%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Total Orders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177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Final Equity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$1,930,911.27</w:t>
            </w:r>
          </w:p>
        </w:tc>
      </w:tr>
    </w:tbl>
    <w:p>
      <w:pPr>
        <w:spacing w:before="160" w:after="40"/>
      </w:pPr>
      <w:r>
        <w:rPr>
          <w:b/>
          <w:color w:val="1A3C5E"/>
          <w:sz w:val="20"/>
        </w:rPr>
        <w:t>Runtime Statistics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283"/>
        </w:trPr>
        <w:tc>
          <w:tcPr>
            <w:tcW w:type="dxa" w:w="360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88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Equity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$1,930,911.27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Fees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-$5,650.41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Holdings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$2,436,481.25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Net Profit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$891,376.32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Probabilistic Sharpe Ratio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15.408%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Return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93.09 %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Unrealized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$39,534.95</w:t>
            </w:r>
          </w:p>
        </w:tc>
      </w:tr>
      <w:tr>
        <w:trPr>
          <w:trHeight w:val="283"/>
        </w:trP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Volume</w:t>
            </w:r>
          </w:p>
        </w:tc>
        <w:tc>
          <w:tcPr>
            <w:tcW w:type="dxa" w:w="288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$196,639,659.38</w:t>
            </w:r>
          </w:p>
        </w:tc>
      </w:tr>
    </w:tbl>
    <w:p>
      <w:pPr>
        <w:spacing w:before="200" w:after="80"/>
      </w:pPr>
      <w:r>
        <w:rPr>
          <w:b/>
          <w:color w:val="1A3C5E"/>
          <w:sz w:val="22"/>
        </w:rPr>
        <w:t>AmiBroker Implementation (for Developer)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SMA_Period = 50;  ConfirmDays = 3;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Penta signal indicators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Penta1 = Foreign("SPY","C") &gt; MA(Foreign("SPY","C"), SMA_Period);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Penta2 = Foreign("IYT","C") &gt; MA(Foreign("IYT","C"), SMA_Period);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Penta3 = Foreign("~NYA","C") &gt; MA(Foreign("~NYA","C"), SMA_Period);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Penta4 = Foreign("LQD","C") &gt; MA(Foreign("LQD","C"), SMA_Period);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PentaScore = Penta1 + Penta2 + Penta3 + Penta4;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RawOn = PentaScore &gt;= 3;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3-day confirmation (signal must persist 3 consecutive days)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ConfOn  = Sum(RawOn, ConfirmDays) == ConfirmDays;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ConfOff = Sum(!RawOn, ConfirmDays) == ConfirmDays;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ExRem: fire once, then wait for opposite signal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Buy  = ExRem(ConfOn, ConfOff);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Sell = ExRem(ConfOff, ConfOn);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SetPositionSize(100, spsPercentOfEquity);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Risk-on:  Trade VOO (or next in TLH ring: IVV, SPLG)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Risk-off: Hold SGOV (or next in TLH ring: BIL, SHV)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TLH Parameters: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  Loss trigger: -3% unrealized loss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  Wash sale window: 31 calendar days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  Equity ring: VOO -&gt; IVV -&gt; SPLG -&gt; VOO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  Cash ring:   SGOV -&gt; BIL -&gt; SHV -&gt; SGOV</w:t>
      </w:r>
    </w:p>
    <w:p>
      <w:pPr>
        <w:spacing w:before="200" w:after="40"/>
        <w:pBdr>
          <w:bottom w:val="single" w:sz="6" w:space="1" w:color="1A3C5E"/>
        </w:pBdr>
      </w:pPr>
    </w:p>
    <w:p>
      <w:r>
        <w:rPr>
          <w:b/>
          <w:color w:val="1A3C5E"/>
          <w:sz w:val="16"/>
        </w:rPr>
        <w:t xml:space="preserve">Data Sources: </w:t>
      </w:r>
      <w:r>
        <w:rPr>
          <w:color w:val="333333"/>
          <w:sz w:val="16"/>
        </w:rPr>
        <w:t>SPY (equity), IYT (equity), NYA (QuantConnect Cash Index -- actual NYSE Composite), LQD (equity). SMA computed by QuantConnect's built-in SMA indicator on daily close prices. Trade CSV attached separately.</w:t>
      </w:r>
    </w:p>
    <w:p>
      <w:r>
        <w:rPr>
          <w:color w:val="666666"/>
          <w:sz w:val="16"/>
        </w:rPr>
        <w:t>QuantConnect backtest: https://www.quantconnect.com/terminal/28552769#open/f4059b5808096b3fc4a98ae8da4bee11</w:t>
      </w:r>
    </w:p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