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6203" w14:textId="77777777" w:rsidR="00BA085C" w:rsidRDefault="00000000">
      <w:pPr>
        <w:pStyle w:val="Title"/>
      </w:pPr>
      <w:r>
        <w:rPr>
          <w:color w:val="003366"/>
        </w:rPr>
        <w:t>CRTPX: Tactical Risk Management for the Passive Fund</w:t>
      </w:r>
    </w:p>
    <w:p w14:paraId="7C08EC8C" w14:textId="77777777" w:rsidR="00BA085C" w:rsidRDefault="00000000">
      <w:pPr>
        <w:spacing w:after="40"/>
      </w:pPr>
      <w:r>
        <w:rPr>
          <w:sz w:val="18"/>
        </w:rPr>
        <w:t>Potomac Fund Management  |  Woody Wiegmann  |  February 2026</w:t>
      </w:r>
    </w:p>
    <w:p w14:paraId="7D67A06E" w14:textId="77777777" w:rsidR="00BA085C" w:rsidRDefault="00000000">
      <w:pPr>
        <w:spacing w:after="160"/>
      </w:pPr>
      <w:r>
        <w:rPr>
          <w:sz w:val="18"/>
        </w:rPr>
        <w:t>Common period: June 2021 - February 2026  |  Risk-off days: 39%  |  Regime switches: 41 (8.8/yr)</w:t>
      </w:r>
    </w:p>
    <w:p w14:paraId="0B82999F" w14:textId="77777777" w:rsidR="00BA085C" w:rsidRDefault="00000000">
      <w:pPr>
        <w:jc w:val="center"/>
      </w:pPr>
      <w:r>
        <w:rPr>
          <w:noProof/>
        </w:rPr>
        <w:drawing>
          <wp:inline distT="0" distB="0" distL="0" distR="0" wp14:anchorId="42CD3EC1" wp14:editId="56ED395E">
            <wp:extent cx="5669280" cy="3656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tpx_comparison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0D67" w14:textId="77777777" w:rsidR="00BA085C" w:rsidRDefault="00000000">
      <w:pPr>
        <w:pStyle w:val="Heading2"/>
      </w:pPr>
      <w:r>
        <w:t>Performance Comparison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BA085C" w14:paraId="6F240BD2" w14:textId="77777777" w:rsidTr="00BA0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  <w:shd w:val="clear" w:color="auto" w:fill="003366"/>
          </w:tcPr>
          <w:p w14:paraId="7CAAFB6F" w14:textId="77777777" w:rsidR="00BA085C" w:rsidRDefault="00000000">
            <w:pPr>
              <w:jc w:val="center"/>
            </w:pPr>
            <w:r>
              <w:rPr>
                <w:color w:val="FFFFFF"/>
                <w:sz w:val="16"/>
              </w:rPr>
              <w:t>Metric</w:t>
            </w:r>
          </w:p>
        </w:tc>
        <w:tc>
          <w:tcPr>
            <w:tcW w:w="2040" w:type="dxa"/>
            <w:shd w:val="clear" w:color="auto" w:fill="003366"/>
          </w:tcPr>
          <w:p w14:paraId="467CDB6B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Strategy A</w:t>
            </w:r>
            <w:r>
              <w:rPr>
                <w:color w:val="FFFFFF"/>
                <w:sz w:val="16"/>
              </w:rPr>
              <w:br/>
              <w:t>(Passive)</w:t>
            </w:r>
          </w:p>
        </w:tc>
        <w:tc>
          <w:tcPr>
            <w:tcW w:w="2040" w:type="dxa"/>
            <w:shd w:val="clear" w:color="auto" w:fill="003366"/>
          </w:tcPr>
          <w:p w14:paraId="3EFA68B8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Strategy B</w:t>
            </w:r>
            <w:r>
              <w:rPr>
                <w:color w:val="FFFFFF"/>
                <w:sz w:val="16"/>
              </w:rPr>
              <w:br/>
              <w:t>(Enhanced)</w:t>
            </w:r>
          </w:p>
        </w:tc>
        <w:tc>
          <w:tcPr>
            <w:tcW w:w="2040" w:type="dxa"/>
            <w:shd w:val="clear" w:color="auto" w:fill="003366"/>
          </w:tcPr>
          <w:p w14:paraId="2790344F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SPY</w:t>
            </w:r>
            <w:r>
              <w:rPr>
                <w:color w:val="FFFFFF"/>
                <w:sz w:val="16"/>
              </w:rPr>
              <w:br/>
              <w:t>Buy&amp;Hold</w:t>
            </w:r>
          </w:p>
        </w:tc>
        <w:tc>
          <w:tcPr>
            <w:tcW w:w="2040" w:type="dxa"/>
            <w:shd w:val="clear" w:color="auto" w:fill="003366"/>
          </w:tcPr>
          <w:p w14:paraId="62338FE4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70/30</w:t>
            </w:r>
            <w:r>
              <w:rPr>
                <w:color w:val="FFFFFF"/>
                <w:sz w:val="16"/>
              </w:rPr>
              <w:br/>
              <w:t>(SPY/AGG)</w:t>
            </w:r>
          </w:p>
        </w:tc>
      </w:tr>
      <w:tr w:rsidR="00BA085C" w14:paraId="0AD6E8DE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54E66A01" w14:textId="77777777" w:rsidR="00BA085C" w:rsidRDefault="00000000">
            <w:r>
              <w:rPr>
                <w:b w:val="0"/>
                <w:sz w:val="16"/>
              </w:rPr>
              <w:t>CAGR</w:t>
            </w:r>
          </w:p>
        </w:tc>
        <w:tc>
          <w:tcPr>
            <w:tcW w:w="2040" w:type="dxa"/>
          </w:tcPr>
          <w:p w14:paraId="267D85CD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12.45%</w:t>
            </w:r>
          </w:p>
        </w:tc>
        <w:tc>
          <w:tcPr>
            <w:tcW w:w="2040" w:type="dxa"/>
          </w:tcPr>
          <w:p w14:paraId="3882D05B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14.45%</w:t>
            </w:r>
          </w:p>
        </w:tc>
        <w:tc>
          <w:tcPr>
            <w:tcW w:w="2040" w:type="dxa"/>
          </w:tcPr>
          <w:p w14:paraId="0D800675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11.35%</w:t>
            </w:r>
          </w:p>
        </w:tc>
        <w:tc>
          <w:tcPr>
            <w:tcW w:w="2040" w:type="dxa"/>
          </w:tcPr>
          <w:p w14:paraId="0384705A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8.20%</w:t>
            </w:r>
          </w:p>
        </w:tc>
      </w:tr>
      <w:tr w:rsidR="00BA085C" w14:paraId="20820EAA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71B03AA7" w14:textId="77777777" w:rsidR="00BA085C" w:rsidRDefault="00000000">
            <w:r>
              <w:rPr>
                <w:b w:val="0"/>
                <w:sz w:val="16"/>
              </w:rPr>
              <w:t>Total Return</w:t>
            </w:r>
          </w:p>
        </w:tc>
        <w:tc>
          <w:tcPr>
            <w:tcW w:w="2040" w:type="dxa"/>
          </w:tcPr>
          <w:p w14:paraId="10C706BE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72.9%</w:t>
            </w:r>
          </w:p>
        </w:tc>
        <w:tc>
          <w:tcPr>
            <w:tcW w:w="2040" w:type="dxa"/>
          </w:tcPr>
          <w:p w14:paraId="3E5A540E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87.7%</w:t>
            </w:r>
          </w:p>
        </w:tc>
        <w:tc>
          <w:tcPr>
            <w:tcW w:w="2040" w:type="dxa"/>
          </w:tcPr>
          <w:p w14:paraId="2A577D4C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65.1%</w:t>
            </w:r>
          </w:p>
        </w:tc>
        <w:tc>
          <w:tcPr>
            <w:tcW w:w="2040" w:type="dxa"/>
          </w:tcPr>
          <w:p w14:paraId="796E88C6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44.4%</w:t>
            </w:r>
          </w:p>
        </w:tc>
      </w:tr>
      <w:tr w:rsidR="00BA085C" w14:paraId="0E6E5A1B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3879579D" w14:textId="77777777" w:rsidR="00BA085C" w:rsidRDefault="00000000">
            <w:r>
              <w:rPr>
                <w:b w:val="0"/>
                <w:sz w:val="16"/>
              </w:rPr>
              <w:t>Max Drawdown</w:t>
            </w:r>
          </w:p>
        </w:tc>
        <w:tc>
          <w:tcPr>
            <w:tcW w:w="2040" w:type="dxa"/>
          </w:tcPr>
          <w:p w14:paraId="2223034B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-11.41%</w:t>
            </w:r>
          </w:p>
        </w:tc>
        <w:tc>
          <w:tcPr>
            <w:tcW w:w="2040" w:type="dxa"/>
          </w:tcPr>
          <w:p w14:paraId="3442253F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-12.94%</w:t>
            </w:r>
          </w:p>
        </w:tc>
        <w:tc>
          <w:tcPr>
            <w:tcW w:w="2040" w:type="dxa"/>
          </w:tcPr>
          <w:p w14:paraId="689BA2EC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-25.43%</w:t>
            </w:r>
          </w:p>
        </w:tc>
        <w:tc>
          <w:tcPr>
            <w:tcW w:w="2040" w:type="dxa"/>
          </w:tcPr>
          <w:p w14:paraId="35C62B0D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-22.16%</w:t>
            </w:r>
          </w:p>
        </w:tc>
      </w:tr>
      <w:tr w:rsidR="00BA085C" w14:paraId="67EDA551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3A83831E" w14:textId="77777777" w:rsidR="00BA085C" w:rsidRDefault="00000000">
            <w:r>
              <w:rPr>
                <w:b w:val="0"/>
                <w:sz w:val="16"/>
              </w:rPr>
              <w:t>Volatility</w:t>
            </w:r>
          </w:p>
        </w:tc>
        <w:tc>
          <w:tcPr>
            <w:tcW w:w="2040" w:type="dxa"/>
          </w:tcPr>
          <w:p w14:paraId="6249F069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9.40%</w:t>
            </w:r>
          </w:p>
        </w:tc>
        <w:tc>
          <w:tcPr>
            <w:tcW w:w="2040" w:type="dxa"/>
          </w:tcPr>
          <w:p w14:paraId="4998D62B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10.10%</w:t>
            </w:r>
          </w:p>
        </w:tc>
        <w:tc>
          <w:tcPr>
            <w:tcW w:w="2040" w:type="dxa"/>
          </w:tcPr>
          <w:p w14:paraId="075D0A4A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17.07%</w:t>
            </w:r>
          </w:p>
        </w:tc>
        <w:tc>
          <w:tcPr>
            <w:tcW w:w="2040" w:type="dxa"/>
          </w:tcPr>
          <w:p w14:paraId="1760641F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12.44%</w:t>
            </w:r>
          </w:p>
        </w:tc>
      </w:tr>
      <w:tr w:rsidR="00BA085C" w14:paraId="2F8D3E6A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22EC0D23" w14:textId="77777777" w:rsidR="00BA085C" w:rsidRDefault="00000000">
            <w:r>
              <w:rPr>
                <w:b w:val="0"/>
                <w:sz w:val="16"/>
              </w:rPr>
              <w:t>Sharpe</w:t>
            </w:r>
          </w:p>
        </w:tc>
        <w:tc>
          <w:tcPr>
            <w:tcW w:w="2040" w:type="dxa"/>
          </w:tcPr>
          <w:p w14:paraId="54C0C317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</w:t>
            </w:r>
          </w:p>
        </w:tc>
        <w:tc>
          <w:tcPr>
            <w:tcW w:w="2040" w:type="dxa"/>
          </w:tcPr>
          <w:p w14:paraId="02093F39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</w:t>
            </w:r>
          </w:p>
        </w:tc>
        <w:tc>
          <w:tcPr>
            <w:tcW w:w="2040" w:type="dxa"/>
          </w:tcPr>
          <w:p w14:paraId="37CB1678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0.48</w:t>
            </w:r>
          </w:p>
        </w:tc>
        <w:tc>
          <w:tcPr>
            <w:tcW w:w="2040" w:type="dxa"/>
          </w:tcPr>
          <w:p w14:paraId="0529CC3F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0.38</w:t>
            </w:r>
          </w:p>
        </w:tc>
      </w:tr>
      <w:tr w:rsidR="00BA085C" w14:paraId="211F5D50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58A044D1" w14:textId="77777777" w:rsidR="00BA085C" w:rsidRDefault="00000000">
            <w:r>
              <w:rPr>
                <w:b w:val="0"/>
                <w:sz w:val="16"/>
              </w:rPr>
              <w:t>Sortino</w:t>
            </w:r>
          </w:p>
        </w:tc>
        <w:tc>
          <w:tcPr>
            <w:tcW w:w="2040" w:type="dxa"/>
          </w:tcPr>
          <w:p w14:paraId="177CFDBD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0.96</w:t>
            </w:r>
          </w:p>
        </w:tc>
        <w:tc>
          <w:tcPr>
            <w:tcW w:w="2040" w:type="dxa"/>
          </w:tcPr>
          <w:p w14:paraId="311F0025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1.32</w:t>
            </w:r>
          </w:p>
        </w:tc>
        <w:tc>
          <w:tcPr>
            <w:tcW w:w="2040" w:type="dxa"/>
          </w:tcPr>
          <w:p w14:paraId="0D556608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0.66</w:t>
            </w:r>
          </w:p>
        </w:tc>
        <w:tc>
          <w:tcPr>
            <w:tcW w:w="2040" w:type="dxa"/>
          </w:tcPr>
          <w:p w14:paraId="20380B89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0.52</w:t>
            </w:r>
          </w:p>
        </w:tc>
      </w:tr>
      <w:tr w:rsidR="00BA085C" w14:paraId="3FDD30AF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4B4B9809" w14:textId="77777777" w:rsidR="00BA085C" w:rsidRDefault="00000000">
            <w:r>
              <w:rPr>
                <w:b w:val="0"/>
                <w:sz w:val="16"/>
              </w:rPr>
              <w:t>Calmar</w:t>
            </w:r>
          </w:p>
        </w:tc>
        <w:tc>
          <w:tcPr>
            <w:tcW w:w="2040" w:type="dxa"/>
          </w:tcPr>
          <w:p w14:paraId="2E14602C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1.09</w:t>
            </w:r>
          </w:p>
        </w:tc>
        <w:tc>
          <w:tcPr>
            <w:tcW w:w="2040" w:type="dxa"/>
          </w:tcPr>
          <w:p w14:paraId="5EBA35B9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1.12</w:t>
            </w:r>
          </w:p>
        </w:tc>
        <w:tc>
          <w:tcPr>
            <w:tcW w:w="2040" w:type="dxa"/>
          </w:tcPr>
          <w:p w14:paraId="28ABEDD3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0.45</w:t>
            </w:r>
          </w:p>
        </w:tc>
        <w:tc>
          <w:tcPr>
            <w:tcW w:w="2040" w:type="dxa"/>
          </w:tcPr>
          <w:p w14:paraId="66CF758B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0.37</w:t>
            </w:r>
          </w:p>
        </w:tc>
      </w:tr>
      <w:tr w:rsidR="00BA085C" w14:paraId="66060A6C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23A18597" w14:textId="77777777" w:rsidR="00BA085C" w:rsidRDefault="00000000">
            <w:r>
              <w:rPr>
                <w:b w:val="0"/>
                <w:sz w:val="16"/>
              </w:rPr>
              <w:t>Beta</w:t>
            </w:r>
          </w:p>
        </w:tc>
        <w:tc>
          <w:tcPr>
            <w:tcW w:w="2040" w:type="dxa"/>
          </w:tcPr>
          <w:p w14:paraId="068EA76F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0.30</w:t>
            </w:r>
          </w:p>
        </w:tc>
        <w:tc>
          <w:tcPr>
            <w:tcW w:w="2040" w:type="dxa"/>
          </w:tcPr>
          <w:p w14:paraId="29B9FBEE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0.29</w:t>
            </w:r>
          </w:p>
        </w:tc>
        <w:tc>
          <w:tcPr>
            <w:tcW w:w="2040" w:type="dxa"/>
          </w:tcPr>
          <w:p w14:paraId="5F02B28D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2040" w:type="dxa"/>
          </w:tcPr>
          <w:p w14:paraId="0588A3F1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0.72</w:t>
            </w:r>
          </w:p>
        </w:tc>
      </w:tr>
      <w:tr w:rsidR="00BA085C" w14:paraId="2B2A85E0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10CAC214" w14:textId="77777777" w:rsidR="00BA085C" w:rsidRDefault="00000000">
            <w:r>
              <w:rPr>
                <w:b w:val="0"/>
                <w:sz w:val="16"/>
              </w:rPr>
              <w:t>Alpha</w:t>
            </w:r>
          </w:p>
        </w:tc>
        <w:tc>
          <w:tcPr>
            <w:tcW w:w="2040" w:type="dxa"/>
          </w:tcPr>
          <w:p w14:paraId="4D8441DF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5.95%</w:t>
            </w:r>
          </w:p>
        </w:tc>
        <w:tc>
          <w:tcPr>
            <w:tcW w:w="2040" w:type="dxa"/>
          </w:tcPr>
          <w:p w14:paraId="65DFE239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8.08%</w:t>
            </w:r>
          </w:p>
        </w:tc>
        <w:tc>
          <w:tcPr>
            <w:tcW w:w="2040" w:type="dxa"/>
          </w:tcPr>
          <w:p w14:paraId="58F69938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-0.88%</w:t>
            </w:r>
          </w:p>
        </w:tc>
        <w:tc>
          <w:tcPr>
            <w:tcW w:w="2040" w:type="dxa"/>
          </w:tcPr>
          <w:p w14:paraId="0760E47F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-1.74%</w:t>
            </w:r>
          </w:p>
        </w:tc>
      </w:tr>
      <w:tr w:rsidR="00BA085C" w14:paraId="2FB4EA5F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195E9C86" w14:textId="77777777" w:rsidR="00BA085C" w:rsidRDefault="00000000">
            <w:r>
              <w:rPr>
                <w:b w:val="0"/>
                <w:sz w:val="16"/>
              </w:rPr>
              <w:t>Up Capture</w:t>
            </w:r>
          </w:p>
        </w:tc>
        <w:tc>
          <w:tcPr>
            <w:tcW w:w="2040" w:type="dxa"/>
          </w:tcPr>
          <w:p w14:paraId="5DA7725B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54.8%</w:t>
            </w:r>
          </w:p>
        </w:tc>
        <w:tc>
          <w:tcPr>
            <w:tcW w:w="2040" w:type="dxa"/>
          </w:tcPr>
          <w:p w14:paraId="7BDAF74E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54.6%</w:t>
            </w:r>
          </w:p>
        </w:tc>
        <w:tc>
          <w:tcPr>
            <w:tcW w:w="2040" w:type="dxa"/>
          </w:tcPr>
          <w:p w14:paraId="1A4E5AE8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  <w:tc>
          <w:tcPr>
            <w:tcW w:w="2040" w:type="dxa"/>
          </w:tcPr>
          <w:p w14:paraId="4B023B97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77.0%</w:t>
            </w:r>
          </w:p>
        </w:tc>
      </w:tr>
      <w:tr w:rsidR="00BA085C" w14:paraId="67933C04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0" w:type="dxa"/>
          </w:tcPr>
          <w:p w14:paraId="4A90022C" w14:textId="77777777" w:rsidR="00BA085C" w:rsidRDefault="00000000">
            <w:r>
              <w:rPr>
                <w:b w:val="0"/>
                <w:sz w:val="16"/>
              </w:rPr>
              <w:t>Down Capture</w:t>
            </w:r>
          </w:p>
        </w:tc>
        <w:tc>
          <w:tcPr>
            <w:tcW w:w="2040" w:type="dxa"/>
          </w:tcPr>
          <w:p w14:paraId="11B02CA7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21.5%</w:t>
            </w:r>
          </w:p>
        </w:tc>
        <w:tc>
          <w:tcPr>
            <w:tcW w:w="2040" w:type="dxa"/>
          </w:tcPr>
          <w:p w14:paraId="2EADADE7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10.1%</w:t>
            </w:r>
          </w:p>
        </w:tc>
        <w:tc>
          <w:tcPr>
            <w:tcW w:w="2040" w:type="dxa"/>
          </w:tcPr>
          <w:p w14:paraId="57F54957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  <w:tc>
          <w:tcPr>
            <w:tcW w:w="2040" w:type="dxa"/>
          </w:tcPr>
          <w:p w14:paraId="780B60F3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81.5%</w:t>
            </w:r>
          </w:p>
        </w:tc>
      </w:tr>
    </w:tbl>
    <w:p w14:paraId="16725B78" w14:textId="77777777" w:rsidR="00BA085C" w:rsidRDefault="00000000">
      <w:r>
        <w:br w:type="page"/>
      </w:r>
    </w:p>
    <w:p w14:paraId="3C2BC14B" w14:textId="77777777" w:rsidR="00BA085C" w:rsidRDefault="00000000">
      <w:pPr>
        <w:pStyle w:val="Heading2"/>
      </w:pPr>
      <w:r>
        <w:lastRenderedPageBreak/>
        <w:t>Signal: Penta (Both Strategies)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A085C" w14:paraId="1CD960A6" w14:textId="77777777" w:rsidTr="00BA0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003366"/>
          </w:tcPr>
          <w:p w14:paraId="75A324A6" w14:textId="77777777" w:rsidR="00BA085C" w:rsidRDefault="00000000">
            <w:pPr>
              <w:jc w:val="center"/>
            </w:pPr>
            <w:r>
              <w:rPr>
                <w:color w:val="FFFFFF"/>
                <w:sz w:val="16"/>
              </w:rPr>
              <w:t>#</w:t>
            </w:r>
          </w:p>
        </w:tc>
        <w:tc>
          <w:tcPr>
            <w:tcW w:w="2550" w:type="dxa"/>
            <w:shd w:val="clear" w:color="auto" w:fill="003366"/>
          </w:tcPr>
          <w:p w14:paraId="0EC1DC4F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Indicator</w:t>
            </w:r>
          </w:p>
        </w:tc>
        <w:tc>
          <w:tcPr>
            <w:tcW w:w="2550" w:type="dxa"/>
            <w:shd w:val="clear" w:color="auto" w:fill="003366"/>
          </w:tcPr>
          <w:p w14:paraId="3E2D7AAC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Ticker</w:t>
            </w:r>
          </w:p>
        </w:tc>
        <w:tc>
          <w:tcPr>
            <w:tcW w:w="2550" w:type="dxa"/>
            <w:shd w:val="clear" w:color="auto" w:fill="003366"/>
          </w:tcPr>
          <w:p w14:paraId="71C7E642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Rule</w:t>
            </w:r>
          </w:p>
        </w:tc>
      </w:tr>
      <w:tr w:rsidR="00BA085C" w14:paraId="64F02100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5A5D7EB8" w14:textId="77777777" w:rsidR="00BA085C" w:rsidRDefault="00000000">
            <w:r>
              <w:rPr>
                <w:b w:val="0"/>
                <w:sz w:val="16"/>
              </w:rPr>
              <w:t>1</w:t>
            </w:r>
          </w:p>
        </w:tc>
        <w:tc>
          <w:tcPr>
            <w:tcW w:w="2550" w:type="dxa"/>
          </w:tcPr>
          <w:p w14:paraId="4FD33E72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S&amp;P 500 Trend</w:t>
            </w:r>
          </w:p>
        </w:tc>
        <w:tc>
          <w:tcPr>
            <w:tcW w:w="2550" w:type="dxa"/>
          </w:tcPr>
          <w:p w14:paraId="760F80F0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SPY</w:t>
            </w:r>
          </w:p>
        </w:tc>
        <w:tc>
          <w:tcPr>
            <w:tcW w:w="2550" w:type="dxa"/>
          </w:tcPr>
          <w:p w14:paraId="4BD27C1C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Close &gt; 50-day SMA</w:t>
            </w:r>
          </w:p>
        </w:tc>
      </w:tr>
      <w:tr w:rsidR="00BA085C" w14:paraId="14844174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6B2EED3E" w14:textId="77777777" w:rsidR="00BA085C" w:rsidRDefault="00000000">
            <w:r>
              <w:rPr>
                <w:b w:val="0"/>
                <w:sz w:val="16"/>
              </w:rPr>
              <w:t>2</w:t>
            </w:r>
          </w:p>
        </w:tc>
        <w:tc>
          <w:tcPr>
            <w:tcW w:w="2550" w:type="dxa"/>
          </w:tcPr>
          <w:p w14:paraId="0250411D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Dow Transports</w:t>
            </w:r>
          </w:p>
        </w:tc>
        <w:tc>
          <w:tcPr>
            <w:tcW w:w="2550" w:type="dxa"/>
          </w:tcPr>
          <w:p w14:paraId="5BDEA410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IYT</w:t>
            </w:r>
          </w:p>
        </w:tc>
        <w:tc>
          <w:tcPr>
            <w:tcW w:w="2550" w:type="dxa"/>
          </w:tcPr>
          <w:p w14:paraId="0748F24E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Close &gt; 50-day SMA</w:t>
            </w:r>
          </w:p>
        </w:tc>
      </w:tr>
      <w:tr w:rsidR="00BA085C" w14:paraId="0E739F02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30CFAB93" w14:textId="77777777" w:rsidR="00BA085C" w:rsidRDefault="00000000">
            <w:r>
              <w:rPr>
                <w:b w:val="0"/>
                <w:sz w:val="16"/>
              </w:rPr>
              <w:t>3</w:t>
            </w:r>
          </w:p>
        </w:tc>
        <w:tc>
          <w:tcPr>
            <w:tcW w:w="2550" w:type="dxa"/>
          </w:tcPr>
          <w:p w14:paraId="29F5F53B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NYSE Breadth</w:t>
            </w:r>
          </w:p>
        </w:tc>
        <w:tc>
          <w:tcPr>
            <w:tcW w:w="2550" w:type="dxa"/>
          </w:tcPr>
          <w:p w14:paraId="5BCD8F34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^NYA</w:t>
            </w:r>
          </w:p>
        </w:tc>
        <w:tc>
          <w:tcPr>
            <w:tcW w:w="2550" w:type="dxa"/>
          </w:tcPr>
          <w:p w14:paraId="77FBB59F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Close &gt; 50-day SMA</w:t>
            </w:r>
          </w:p>
        </w:tc>
      </w:tr>
      <w:tr w:rsidR="00BA085C" w14:paraId="02CC1EA9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04A7C827" w14:textId="77777777" w:rsidR="00BA085C" w:rsidRDefault="00000000">
            <w:r>
              <w:rPr>
                <w:b w:val="0"/>
                <w:sz w:val="16"/>
              </w:rPr>
              <w:t>4</w:t>
            </w:r>
          </w:p>
        </w:tc>
        <w:tc>
          <w:tcPr>
            <w:tcW w:w="2550" w:type="dxa"/>
          </w:tcPr>
          <w:p w14:paraId="33B62B07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Corp Credit</w:t>
            </w:r>
          </w:p>
        </w:tc>
        <w:tc>
          <w:tcPr>
            <w:tcW w:w="2550" w:type="dxa"/>
          </w:tcPr>
          <w:p w14:paraId="6E9D817C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LQD</w:t>
            </w:r>
          </w:p>
        </w:tc>
        <w:tc>
          <w:tcPr>
            <w:tcW w:w="2550" w:type="dxa"/>
          </w:tcPr>
          <w:p w14:paraId="2B7D5900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Close &gt; 50-day SMA</w:t>
            </w:r>
          </w:p>
        </w:tc>
      </w:tr>
    </w:tbl>
    <w:p w14:paraId="6BC0DBB6" w14:textId="77777777" w:rsidR="00BA085C" w:rsidRDefault="00000000">
      <w:pPr>
        <w:spacing w:after="160"/>
      </w:pPr>
      <w:r>
        <w:rPr>
          <w:sz w:val="18"/>
        </w:rPr>
        <w:t>Penta ON = 3+ green. 3-day confirmation before switching.</w:t>
      </w:r>
    </w:p>
    <w:p w14:paraId="60B9B64D" w14:textId="77777777" w:rsidR="00BA085C" w:rsidRDefault="00000000">
      <w:pPr>
        <w:pStyle w:val="Heading2"/>
      </w:pPr>
      <w:r>
        <w:t>Allocations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A085C" w14:paraId="1C875821" w14:textId="77777777" w:rsidTr="00BA0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03366"/>
          </w:tcPr>
          <w:p w14:paraId="4F938901" w14:textId="77777777" w:rsidR="00BA085C" w:rsidRDefault="00000000">
            <w:pPr>
              <w:jc w:val="center"/>
            </w:pPr>
            <w:r>
              <w:rPr>
                <w:color w:val="FFFFFF"/>
                <w:sz w:val="16"/>
              </w:rPr>
              <w:t>Regime</w:t>
            </w:r>
          </w:p>
        </w:tc>
        <w:tc>
          <w:tcPr>
            <w:tcW w:w="3400" w:type="dxa"/>
            <w:shd w:val="clear" w:color="auto" w:fill="003366"/>
          </w:tcPr>
          <w:p w14:paraId="69FBCDD1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Strategy A</w:t>
            </w:r>
          </w:p>
        </w:tc>
        <w:tc>
          <w:tcPr>
            <w:tcW w:w="3400" w:type="dxa"/>
            <w:shd w:val="clear" w:color="auto" w:fill="003366"/>
          </w:tcPr>
          <w:p w14:paraId="7C13BEB0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Strategy B</w:t>
            </w:r>
          </w:p>
        </w:tc>
      </w:tr>
      <w:tr w:rsidR="00BA085C" w14:paraId="43F9DC16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F4CBCF0" w14:textId="77777777" w:rsidR="00BA085C" w:rsidRDefault="00000000">
            <w:r>
              <w:rPr>
                <w:b w:val="0"/>
                <w:sz w:val="16"/>
              </w:rPr>
              <w:t>Risk-On (Penta &gt;= 3)</w:t>
            </w:r>
          </w:p>
        </w:tc>
        <w:tc>
          <w:tcPr>
            <w:tcW w:w="3400" w:type="dxa"/>
          </w:tcPr>
          <w:p w14:paraId="0DF8F997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100% VOO</w:t>
            </w:r>
          </w:p>
        </w:tc>
        <w:tc>
          <w:tcPr>
            <w:tcW w:w="3400" w:type="dxa"/>
          </w:tcPr>
          <w:p w14:paraId="238BC463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100% VOO</w:t>
            </w:r>
          </w:p>
        </w:tc>
      </w:tr>
      <w:tr w:rsidR="00BA085C" w14:paraId="300884DF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37D14D4" w14:textId="77777777" w:rsidR="00BA085C" w:rsidRDefault="00000000">
            <w:r>
              <w:rPr>
                <w:b w:val="0"/>
                <w:sz w:val="16"/>
              </w:rPr>
              <w:t>Risk-Off (Penta &lt;= 2)</w:t>
            </w:r>
          </w:p>
        </w:tc>
        <w:tc>
          <w:tcPr>
            <w:tcW w:w="3400" w:type="dxa"/>
          </w:tcPr>
          <w:p w14:paraId="5094E4E1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100% SGOV</w:t>
            </w:r>
          </w:p>
        </w:tc>
        <w:tc>
          <w:tcPr>
            <w:tcW w:w="3400" w:type="dxa"/>
          </w:tcPr>
          <w:p w14:paraId="7B1D59BC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40% DBMF + 30% CAOS + 30% SGOV</w:t>
            </w:r>
          </w:p>
        </w:tc>
      </w:tr>
    </w:tbl>
    <w:p w14:paraId="51DE375A" w14:textId="77777777" w:rsidR="00BA085C" w:rsidRDefault="00000000">
      <w:pPr>
        <w:spacing w:after="160"/>
      </w:pPr>
      <w:r>
        <w:rPr>
          <w:sz w:val="16"/>
        </w:rPr>
        <w:t>Strategy B risk-off blend based on Baltussen et al. (FAJ 2026): trend-following (DBMF) + convexity (CAOS) + cash anchor (SGOV). 222-year evidence shows 50/50 trend+convexity is optimal for drawdown reduction.</w:t>
      </w:r>
    </w:p>
    <w:p w14:paraId="54FE5774" w14:textId="77777777" w:rsidR="00BA085C" w:rsidRDefault="00000000">
      <w:pPr>
        <w:pStyle w:val="Heading1"/>
      </w:pPr>
      <w:r>
        <w:rPr>
          <w:color w:val="003366"/>
        </w:rPr>
        <w:t>Operating Guide</w:t>
      </w:r>
    </w:p>
    <w:p w14:paraId="3C6DDC3A" w14:textId="76F8D340" w:rsidR="00BA085C" w:rsidRDefault="00000000">
      <w:pPr>
        <w:spacing w:after="60"/>
      </w:pPr>
      <w:r>
        <w:rPr>
          <w:b/>
        </w:rPr>
        <w:t>Daily Check</w:t>
      </w:r>
      <w:r w:rsidR="000C0826">
        <w:rPr>
          <w:b/>
        </w:rPr>
        <w:t>:</w:t>
      </w:r>
    </w:p>
    <w:p w14:paraId="5DA663CD" w14:textId="77777777" w:rsidR="00BA085C" w:rsidRDefault="00000000">
      <w:pPr>
        <w:spacing w:after="120"/>
      </w:pPr>
      <w:r>
        <w:rPr>
          <w:sz w:val="18"/>
        </w:rPr>
        <w:t>1. Pull closing prices for SPY, IYT, ^NYA, LQD.</w:t>
      </w:r>
      <w:r>
        <w:rPr>
          <w:sz w:val="18"/>
        </w:rPr>
        <w:br/>
        <w:t>2. Compare each to its 50-day SMA. Count greens (0-4).</w:t>
      </w:r>
      <w:r>
        <w:rPr>
          <w:sz w:val="18"/>
        </w:rPr>
        <w:br/>
        <w:t>3. If score differs from current regime for 3 consecutive days, switch.</w:t>
      </w:r>
      <w:r>
        <w:rPr>
          <w:sz w:val="18"/>
        </w:rPr>
        <w:br/>
        <w:t>4. Check current holding for &gt;3% unrealized loss (TLH trigger).</w:t>
      </w:r>
    </w:p>
    <w:p w14:paraId="534F9B4B" w14:textId="77777777" w:rsidR="00BA085C" w:rsidRDefault="00000000">
      <w:pPr>
        <w:spacing w:after="60"/>
      </w:pPr>
      <w:r>
        <w:rPr>
          <w:b/>
        </w:rPr>
        <w:t>Risk-On to Risk-Off:</w:t>
      </w:r>
    </w:p>
    <w:p w14:paraId="300574B3" w14:textId="77777777" w:rsidR="00BA085C" w:rsidRDefault="00000000">
      <w:pPr>
        <w:spacing w:after="120"/>
      </w:pPr>
      <w:r>
        <w:rPr>
          <w:sz w:val="18"/>
        </w:rPr>
        <w:t>1. Check equity lot for unrealized loss. If loss: sell first (harvest).</w:t>
      </w:r>
      <w:r>
        <w:rPr>
          <w:sz w:val="18"/>
        </w:rPr>
        <w:br/>
        <w:t>2. Buy defensive: (A) 100% SGOV, or (B) 40% DBMF + 30% CAOS + 30% SGOV.</w:t>
      </w:r>
      <w:r>
        <w:rPr>
          <w:sz w:val="18"/>
        </w:rPr>
        <w:br/>
        <w:t>3. Record sold ticker + wash sale expiry (T+31 days).</w:t>
      </w:r>
    </w:p>
    <w:p w14:paraId="5C5AB272" w14:textId="77777777" w:rsidR="00BA085C" w:rsidRDefault="00000000">
      <w:pPr>
        <w:spacing w:after="60"/>
      </w:pPr>
      <w:r>
        <w:rPr>
          <w:b/>
        </w:rPr>
        <w:t>Risk-Off to Risk-On:</w:t>
      </w:r>
    </w:p>
    <w:p w14:paraId="1E7C9AD4" w14:textId="77777777" w:rsidR="00BA085C" w:rsidRDefault="00000000">
      <w:pPr>
        <w:spacing w:after="120"/>
      </w:pPr>
      <w:r>
        <w:rPr>
          <w:sz w:val="18"/>
        </w:rPr>
        <w:t>1. Check defensive lots for unrealized loss. If loss: sell first.</w:t>
      </w:r>
      <w:r>
        <w:rPr>
          <w:sz w:val="18"/>
        </w:rPr>
        <w:br/>
        <w:t>2. Buy equity: VOO (or next in ring if wash sale active).</w:t>
      </w:r>
      <w:r>
        <w:rPr>
          <w:sz w:val="18"/>
        </w:rPr>
        <w:br/>
        <w:t>3. Record wash sale dates.</w:t>
      </w:r>
    </w:p>
    <w:p w14:paraId="2D4C8192" w14:textId="77777777" w:rsidR="00BA085C" w:rsidRDefault="00000000">
      <w:pPr>
        <w:spacing w:after="60"/>
      </w:pPr>
      <w:r>
        <w:rPr>
          <w:b/>
        </w:rPr>
        <w:t>TLH Swap Rings: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A085C" w14:paraId="5441FCBA" w14:textId="77777777" w:rsidTr="00BA0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003366"/>
          </w:tcPr>
          <w:p w14:paraId="6B138D9C" w14:textId="77777777" w:rsidR="00BA085C" w:rsidRDefault="00000000">
            <w:pPr>
              <w:jc w:val="center"/>
            </w:pPr>
            <w:r>
              <w:rPr>
                <w:color w:val="FFFFFF"/>
                <w:sz w:val="16"/>
              </w:rPr>
              <w:t>Side</w:t>
            </w:r>
          </w:p>
        </w:tc>
        <w:tc>
          <w:tcPr>
            <w:tcW w:w="2550" w:type="dxa"/>
            <w:shd w:val="clear" w:color="auto" w:fill="003366"/>
          </w:tcPr>
          <w:p w14:paraId="682C9620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Primary</w:t>
            </w:r>
          </w:p>
        </w:tc>
        <w:tc>
          <w:tcPr>
            <w:tcW w:w="2550" w:type="dxa"/>
            <w:shd w:val="clear" w:color="auto" w:fill="003366"/>
          </w:tcPr>
          <w:p w14:paraId="11883E97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Swap 1</w:t>
            </w:r>
          </w:p>
        </w:tc>
        <w:tc>
          <w:tcPr>
            <w:tcW w:w="2550" w:type="dxa"/>
            <w:shd w:val="clear" w:color="auto" w:fill="003366"/>
          </w:tcPr>
          <w:p w14:paraId="32D5EF16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Swap 2</w:t>
            </w:r>
          </w:p>
        </w:tc>
      </w:tr>
      <w:tr w:rsidR="00BA085C" w14:paraId="3F29CDA1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02894E54" w14:textId="77777777" w:rsidR="00BA085C" w:rsidRDefault="00000000">
            <w:r>
              <w:rPr>
                <w:b w:val="0"/>
                <w:sz w:val="16"/>
              </w:rPr>
              <w:t>Equity</w:t>
            </w:r>
          </w:p>
        </w:tc>
        <w:tc>
          <w:tcPr>
            <w:tcW w:w="2550" w:type="dxa"/>
          </w:tcPr>
          <w:p w14:paraId="688EAF6D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VOO</w:t>
            </w:r>
          </w:p>
        </w:tc>
        <w:tc>
          <w:tcPr>
            <w:tcW w:w="2550" w:type="dxa"/>
          </w:tcPr>
          <w:p w14:paraId="44ECCA4E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IVV</w:t>
            </w:r>
          </w:p>
        </w:tc>
        <w:tc>
          <w:tcPr>
            <w:tcW w:w="2550" w:type="dxa"/>
          </w:tcPr>
          <w:p w14:paraId="4B19FDC8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SPLG</w:t>
            </w:r>
          </w:p>
        </w:tc>
      </w:tr>
      <w:tr w:rsidR="00BA085C" w14:paraId="1CAD0CF1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41C26983" w14:textId="77777777" w:rsidR="00BA085C" w:rsidRDefault="00000000">
            <w:r>
              <w:rPr>
                <w:b w:val="0"/>
                <w:sz w:val="16"/>
              </w:rPr>
              <w:t>Cash</w:t>
            </w:r>
          </w:p>
        </w:tc>
        <w:tc>
          <w:tcPr>
            <w:tcW w:w="2550" w:type="dxa"/>
          </w:tcPr>
          <w:p w14:paraId="5A56A021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SGOV</w:t>
            </w:r>
          </w:p>
        </w:tc>
        <w:tc>
          <w:tcPr>
            <w:tcW w:w="2550" w:type="dxa"/>
          </w:tcPr>
          <w:p w14:paraId="4849EE26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BIL</w:t>
            </w:r>
          </w:p>
        </w:tc>
        <w:tc>
          <w:tcPr>
            <w:tcW w:w="2550" w:type="dxa"/>
          </w:tcPr>
          <w:p w14:paraId="574211AD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SHV</w:t>
            </w:r>
          </w:p>
        </w:tc>
      </w:tr>
    </w:tbl>
    <w:p w14:paraId="35D62D07" w14:textId="77777777" w:rsidR="00BA085C" w:rsidRDefault="00000000">
      <w:pPr>
        <w:spacing w:after="160"/>
      </w:pPr>
      <w:r>
        <w:rPr>
          <w:sz w:val="16"/>
        </w:rPr>
        <w:t>Loss trigger: -3%. Wash sale window: 31 calendar days. Always use next available ticker in ring.</w:t>
      </w:r>
    </w:p>
    <w:p w14:paraId="748A3736" w14:textId="77777777" w:rsidR="00BA085C" w:rsidRDefault="00000000">
      <w:r>
        <w:br w:type="page"/>
      </w:r>
    </w:p>
    <w:p w14:paraId="7575125E" w14:textId="77777777" w:rsidR="00BA085C" w:rsidRDefault="00000000">
      <w:pPr>
        <w:pStyle w:val="Heading1"/>
      </w:pPr>
      <w:r>
        <w:rPr>
          <w:color w:val="003366"/>
        </w:rPr>
        <w:lastRenderedPageBreak/>
        <w:t>AmiBroker Implementation</w:t>
      </w:r>
    </w:p>
    <w:p w14:paraId="274E94D0" w14:textId="77777777" w:rsidR="00BA085C" w:rsidRDefault="00000000">
      <w:pPr>
        <w:spacing w:after="60"/>
      </w:pPr>
      <w:r>
        <w:rPr>
          <w:b/>
        </w:rPr>
        <w:t>Strategy A (Passive):</w:t>
      </w:r>
    </w:p>
    <w:p w14:paraId="0CAFC25D" w14:textId="77777777" w:rsidR="00BA085C" w:rsidRDefault="00000000">
      <w:pPr>
        <w:spacing w:before="40" w:after="40"/>
      </w:pPr>
      <w:r>
        <w:rPr>
          <w:rFonts w:ascii="Consolas" w:hAnsi="Consolas"/>
          <w:sz w:val="14"/>
        </w:rPr>
        <w:t>SMA_Period = 50;  ConfirmDays = 3;</w:t>
      </w:r>
      <w:r>
        <w:rPr>
          <w:rFonts w:ascii="Consolas" w:hAnsi="Consolas"/>
          <w:sz w:val="14"/>
        </w:rPr>
        <w:br/>
        <w:t>Penta1 = Foreign("SPY","C") &gt; MA(Foreign("SPY","C"), SMA_Period);</w:t>
      </w:r>
      <w:r>
        <w:rPr>
          <w:rFonts w:ascii="Consolas" w:hAnsi="Consolas"/>
          <w:sz w:val="14"/>
        </w:rPr>
        <w:br/>
        <w:t>Penta2 = Foreign("IYT","C") &gt; MA(Foreign("IYT","C"), SMA_Period);</w:t>
      </w:r>
      <w:r>
        <w:rPr>
          <w:rFonts w:ascii="Consolas" w:hAnsi="Consolas"/>
          <w:sz w:val="14"/>
        </w:rPr>
        <w:br/>
        <w:t>Penta3 = Foreign("~NYA","C") &gt; MA(Foreign("~NYA","C"), SMA_Period);</w:t>
      </w:r>
      <w:r>
        <w:rPr>
          <w:rFonts w:ascii="Consolas" w:hAnsi="Consolas"/>
          <w:sz w:val="14"/>
        </w:rPr>
        <w:br/>
        <w:t>Penta4 = Foreign("LQD","C") &gt; MA(Foreign("LQD","C"), SMA_Period);</w:t>
      </w:r>
      <w:r>
        <w:rPr>
          <w:rFonts w:ascii="Consolas" w:hAnsi="Consolas"/>
          <w:sz w:val="14"/>
        </w:rPr>
        <w:br/>
        <w:t>PentaScore = Penta1 + Penta2 + Penta3 + Penta4;</w:t>
      </w:r>
      <w:r>
        <w:rPr>
          <w:rFonts w:ascii="Consolas" w:hAnsi="Consolas"/>
          <w:sz w:val="14"/>
        </w:rPr>
        <w:br/>
        <w:t>RawOn = PentaScore &gt;= 3;</w:t>
      </w:r>
      <w:r>
        <w:rPr>
          <w:rFonts w:ascii="Consolas" w:hAnsi="Consolas"/>
          <w:sz w:val="14"/>
        </w:rPr>
        <w:br/>
        <w:t>ConfOn  = Sum(RawOn, ConfirmDays) == ConfirmDays;</w:t>
      </w:r>
      <w:r>
        <w:rPr>
          <w:rFonts w:ascii="Consolas" w:hAnsi="Consolas"/>
          <w:sz w:val="14"/>
        </w:rPr>
        <w:br/>
        <w:t>ConfOff = Sum(!RawOn, ConfirmDays) == ConfirmDays;</w:t>
      </w:r>
      <w:r>
        <w:rPr>
          <w:rFonts w:ascii="Consolas" w:hAnsi="Consolas"/>
          <w:sz w:val="14"/>
        </w:rPr>
        <w:br/>
        <w:t>Buy  = ExRem(ConfOn, ConfOff);</w:t>
      </w:r>
      <w:r>
        <w:rPr>
          <w:rFonts w:ascii="Consolas" w:hAnsi="Consolas"/>
          <w:sz w:val="14"/>
        </w:rPr>
        <w:br/>
        <w:t>Sell = ExRem(ConfOff, ConfOn);</w:t>
      </w:r>
      <w:r>
        <w:rPr>
          <w:rFonts w:ascii="Consolas" w:hAnsi="Consolas"/>
          <w:sz w:val="14"/>
        </w:rPr>
        <w:br/>
        <w:t>SetPositionSize(100, spsPercentOfEquity);</w:t>
      </w:r>
      <w:r>
        <w:rPr>
          <w:rFonts w:ascii="Consolas" w:hAnsi="Consolas"/>
          <w:sz w:val="14"/>
        </w:rPr>
        <w:br/>
        <w:t>// Trade SPY or VOO. Risk-off = cash (or model SGOV via SetForeign).</w:t>
      </w:r>
    </w:p>
    <w:p w14:paraId="4DC0123F" w14:textId="77777777" w:rsidR="00BA085C" w:rsidRDefault="00BA085C">
      <w:pPr>
        <w:spacing w:after="80"/>
      </w:pPr>
    </w:p>
    <w:p w14:paraId="5C88D805" w14:textId="77777777" w:rsidR="00BA085C" w:rsidRDefault="00000000">
      <w:pPr>
        <w:spacing w:after="60"/>
      </w:pPr>
      <w:r>
        <w:rPr>
          <w:b/>
        </w:rPr>
        <w:t>Strategy B (Enhanced) -- risk-off return:</w:t>
      </w:r>
    </w:p>
    <w:p w14:paraId="08D42F8E" w14:textId="77777777" w:rsidR="00BA085C" w:rsidRDefault="00000000">
      <w:pPr>
        <w:spacing w:before="40" w:after="40"/>
      </w:pPr>
      <w:r>
        <w:rPr>
          <w:rFonts w:ascii="Consolas" w:hAnsi="Consolas"/>
          <w:sz w:val="14"/>
        </w:rPr>
        <w:t>// Same signal as above. When Sell fires, risk-off return =</w:t>
      </w:r>
      <w:r>
        <w:rPr>
          <w:rFonts w:ascii="Consolas" w:hAnsi="Consolas"/>
          <w:sz w:val="14"/>
        </w:rPr>
        <w:br/>
        <w:t>RiskOffRet = 0.40 * ROC(Foreign("DBMF","C"),1)/100</w:t>
      </w:r>
      <w:r>
        <w:rPr>
          <w:rFonts w:ascii="Consolas" w:hAnsi="Consolas"/>
          <w:sz w:val="14"/>
        </w:rPr>
        <w:br/>
        <w:t xml:space="preserve">           + 0.30 * ROC(Foreign("CAOS","C"),1)/100</w:t>
      </w:r>
      <w:r>
        <w:rPr>
          <w:rFonts w:ascii="Consolas" w:hAnsi="Consolas"/>
          <w:sz w:val="14"/>
        </w:rPr>
        <w:br/>
        <w:t xml:space="preserve">           + 0.30 * ROC(Foreign("SGOV","C"),1)/100;</w:t>
      </w:r>
      <w:r>
        <w:rPr>
          <w:rFonts w:ascii="Consolas" w:hAnsi="Consolas"/>
          <w:sz w:val="14"/>
        </w:rPr>
        <w:br/>
        <w:t>// Use SetForeign or rotational mode to apply blended risk-off.</w:t>
      </w:r>
    </w:p>
    <w:p w14:paraId="4F31181A" w14:textId="77777777" w:rsidR="00BA085C" w:rsidRDefault="00BA085C">
      <w:pPr>
        <w:spacing w:after="80"/>
      </w:pPr>
    </w:p>
    <w:p w14:paraId="29767C28" w14:textId="77777777" w:rsidR="00BA085C" w:rsidRDefault="00000000">
      <w:pPr>
        <w:spacing w:after="60"/>
      </w:pPr>
      <w:r>
        <w:rPr>
          <w:b/>
        </w:rPr>
        <w:t>Sensitivity test these parameters: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A085C" w14:paraId="3880BF48" w14:textId="77777777" w:rsidTr="00BA0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03366"/>
          </w:tcPr>
          <w:p w14:paraId="4185D4C9" w14:textId="77777777" w:rsidR="00BA085C" w:rsidRDefault="00000000">
            <w:pPr>
              <w:jc w:val="center"/>
            </w:pPr>
            <w:r>
              <w:rPr>
                <w:color w:val="FFFFFF"/>
                <w:sz w:val="16"/>
              </w:rPr>
              <w:t>Parameter</w:t>
            </w:r>
          </w:p>
        </w:tc>
        <w:tc>
          <w:tcPr>
            <w:tcW w:w="3400" w:type="dxa"/>
            <w:shd w:val="clear" w:color="auto" w:fill="003366"/>
          </w:tcPr>
          <w:p w14:paraId="4640FD15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Default</w:t>
            </w:r>
          </w:p>
        </w:tc>
        <w:tc>
          <w:tcPr>
            <w:tcW w:w="3400" w:type="dxa"/>
            <w:shd w:val="clear" w:color="auto" w:fill="003366"/>
          </w:tcPr>
          <w:p w14:paraId="4639F535" w14:textId="77777777" w:rsidR="00BA085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Test Range</w:t>
            </w:r>
          </w:p>
        </w:tc>
      </w:tr>
      <w:tr w:rsidR="00BA085C" w14:paraId="7528BA31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E36FC81" w14:textId="77777777" w:rsidR="00BA085C" w:rsidRDefault="00000000">
            <w:r>
              <w:rPr>
                <w:b w:val="0"/>
                <w:sz w:val="16"/>
              </w:rPr>
              <w:t>SMA Period</w:t>
            </w:r>
          </w:p>
        </w:tc>
        <w:tc>
          <w:tcPr>
            <w:tcW w:w="3400" w:type="dxa"/>
          </w:tcPr>
          <w:p w14:paraId="5E81C86A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3400" w:type="dxa"/>
          </w:tcPr>
          <w:p w14:paraId="33F26566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20, 50, 100, 200</w:t>
            </w:r>
          </w:p>
        </w:tc>
      </w:tr>
      <w:tr w:rsidR="00BA085C" w14:paraId="27D049FB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67BD639" w14:textId="77777777" w:rsidR="00BA085C" w:rsidRDefault="00000000">
            <w:r>
              <w:rPr>
                <w:b w:val="0"/>
                <w:sz w:val="16"/>
              </w:rPr>
              <w:t>Confirmation Days</w:t>
            </w:r>
          </w:p>
        </w:tc>
        <w:tc>
          <w:tcPr>
            <w:tcW w:w="3400" w:type="dxa"/>
          </w:tcPr>
          <w:p w14:paraId="47D61C40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3400" w:type="dxa"/>
          </w:tcPr>
          <w:p w14:paraId="7C06B164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1, 2, 3, 5</w:t>
            </w:r>
          </w:p>
        </w:tc>
      </w:tr>
      <w:tr w:rsidR="00BA085C" w14:paraId="4F076B38" w14:textId="77777777" w:rsidTr="00BA0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CB2F760" w14:textId="77777777" w:rsidR="00BA085C" w:rsidRDefault="00000000">
            <w:r>
              <w:rPr>
                <w:b w:val="0"/>
                <w:sz w:val="16"/>
              </w:rPr>
              <w:t>Penta Threshold</w:t>
            </w:r>
          </w:p>
        </w:tc>
        <w:tc>
          <w:tcPr>
            <w:tcW w:w="3400" w:type="dxa"/>
          </w:tcPr>
          <w:p w14:paraId="78C90BDE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3/4</w:t>
            </w:r>
          </w:p>
        </w:tc>
        <w:tc>
          <w:tcPr>
            <w:tcW w:w="3400" w:type="dxa"/>
          </w:tcPr>
          <w:p w14:paraId="53D9365D" w14:textId="77777777" w:rsidR="00BA085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2/4, 3/4, 4/4</w:t>
            </w:r>
          </w:p>
        </w:tc>
      </w:tr>
      <w:tr w:rsidR="00BA085C" w14:paraId="2239AA09" w14:textId="77777777" w:rsidTr="00BA08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AA93096" w14:textId="77777777" w:rsidR="00BA085C" w:rsidRDefault="00000000">
            <w:r>
              <w:rPr>
                <w:b w:val="0"/>
                <w:sz w:val="16"/>
              </w:rPr>
              <w:t>DBMF / CAOS / SGOV wts</w:t>
            </w:r>
          </w:p>
        </w:tc>
        <w:tc>
          <w:tcPr>
            <w:tcW w:w="3400" w:type="dxa"/>
          </w:tcPr>
          <w:p w14:paraId="77B9E43F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40/30/30</w:t>
            </w:r>
          </w:p>
        </w:tc>
        <w:tc>
          <w:tcPr>
            <w:tcW w:w="3400" w:type="dxa"/>
          </w:tcPr>
          <w:p w14:paraId="31764B76" w14:textId="77777777" w:rsidR="00BA085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50/25/25, 30/40/30</w:t>
            </w:r>
          </w:p>
        </w:tc>
      </w:tr>
    </w:tbl>
    <w:p w14:paraId="193CEFA4" w14:textId="77777777" w:rsidR="00BA085C" w:rsidRDefault="00BA085C">
      <w:pPr>
        <w:spacing w:after="80"/>
      </w:pPr>
    </w:p>
    <w:p w14:paraId="51C22E49" w14:textId="77777777" w:rsidR="00BA085C" w:rsidRDefault="00000000">
      <w:pPr>
        <w:spacing w:after="120"/>
      </w:pPr>
      <w:r>
        <w:rPr>
          <w:sz w:val="16"/>
        </w:rPr>
        <w:t>Why this isn't overfit: 4 standard indicators, 1 parameter each (50-day SMA). 3-day confirmation is a standard anti-whipsaw filter. Risk-off blend derived from 222-year evidence (Baltussen et al. 2026), not from fitting to this period. Only 2 free parameters total.</w:t>
      </w:r>
    </w:p>
    <w:sectPr w:rsidR="00BA085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430751">
    <w:abstractNumId w:val="8"/>
  </w:num>
  <w:num w:numId="2" w16cid:durableId="736246079">
    <w:abstractNumId w:val="6"/>
  </w:num>
  <w:num w:numId="3" w16cid:durableId="1244489946">
    <w:abstractNumId w:val="5"/>
  </w:num>
  <w:num w:numId="4" w16cid:durableId="1293753856">
    <w:abstractNumId w:val="4"/>
  </w:num>
  <w:num w:numId="5" w16cid:durableId="1109159755">
    <w:abstractNumId w:val="7"/>
  </w:num>
  <w:num w:numId="6" w16cid:durableId="732394273">
    <w:abstractNumId w:val="3"/>
  </w:num>
  <w:num w:numId="7" w16cid:durableId="1429084607">
    <w:abstractNumId w:val="2"/>
  </w:num>
  <w:num w:numId="8" w16cid:durableId="401716">
    <w:abstractNumId w:val="1"/>
  </w:num>
  <w:num w:numId="9" w16cid:durableId="137246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826"/>
    <w:rsid w:val="0015074B"/>
    <w:rsid w:val="0029639D"/>
    <w:rsid w:val="00326F90"/>
    <w:rsid w:val="00A81F14"/>
    <w:rsid w:val="00AA1D8D"/>
    <w:rsid w:val="00B47730"/>
    <w:rsid w:val="00BA08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62E0DE-406D-4432-880B-C1EFFB74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Woody Wiegmann</cp:lastModifiedBy>
  <cp:revision>2</cp:revision>
  <dcterms:created xsi:type="dcterms:W3CDTF">2013-12-23T23:15:00Z</dcterms:created>
  <dcterms:modified xsi:type="dcterms:W3CDTF">2026-02-28T04:12:00Z</dcterms:modified>
  <cp:category/>
</cp:coreProperties>
</file>