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Breadth + Trend Overlay: Threshold Comparison</w:t>
      </w:r>
    </w:p>
    <w:p>
      <w:pPr>
        <w:jc w:val="center"/>
      </w:pPr>
      <w:r>
        <w:rPr>
          <w:color w:val="646464"/>
          <w:sz w:val="18"/>
        </w:rPr>
        <w:t>40-ETF International Dual Momentum  |  Jan 2016 - Feb 2026</w:t>
        <w:br/>
        <w:t>Signal A: % MSCI Country ETFs &gt; 200d SMA  |  Signal B: ACWX &gt; 200d SMA</w:t>
        <w:br/>
        <w:t>OR Gate: Stay invested if EITHER positive; cash (BIL) only if BOTH negative</w:t>
      </w:r>
    </w:p>
    <w:p/>
    <w:p>
      <w:r>
        <w:rPr>
          <w:b/>
          <w:color w:val="1F4E79"/>
          <w:sz w:val="24"/>
        </w:rPr>
        <w:t>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CAGR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Ret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DD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Sortino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Alpha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</w:t>
            </w:r>
          </w:p>
        </w:tc>
        <w:tc>
          <w:tcPr>
            <w:tcW w:type="dxa" w:w="106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 Equity</w:t>
            </w:r>
          </w:p>
        </w:tc>
      </w:tr>
      <w:tr>
        <w:tc>
          <w:tcPr>
            <w:tcW w:type="dxa" w:w="1066"/>
          </w:tcPr>
          <w:p>
            <w:r>
              <w:rPr>
                <w:sz w:val="18"/>
              </w:rPr>
              <w:t>Baseline (no overlay)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14.30%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289.0%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39.8%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0.508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0.541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16.7%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$3,890,450</w:t>
            </w:r>
          </w:p>
        </w:tc>
      </w:tr>
      <w:tr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Breadth 30%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10.86%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185.3%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31.7%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0.384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$2,852,632</w:t>
            </w:r>
          </w:p>
        </w:tc>
      </w:tr>
      <w:tr>
        <w:tc>
          <w:tcPr>
            <w:tcW w:type="dxa" w:w="1066"/>
          </w:tcPr>
          <w:p>
            <w:r>
              <w:rPr>
                <w:sz w:val="18"/>
              </w:rPr>
              <w:t>Breadth 40%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10.12%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166.4%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35.8%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14.7%</w:t>
            </w:r>
          </w:p>
        </w:tc>
        <w:tc>
          <w:tcPr>
            <w:tcW w:type="dxa" w:w="1066"/>
          </w:tcPr>
          <w:p>
            <w:r>
              <w:rPr>
                <w:sz w:val="18"/>
              </w:rPr>
              <w:t>$2,664,092</w:t>
            </w:r>
          </w:p>
        </w:tc>
      </w:tr>
      <w:tr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Breadth 50%*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~1.1%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~11%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66"/>
            <w:shd w:fill="EBF5FB" w:val="clear"/>
          </w:tcPr>
          <w:p>
            <w:r>
              <w:rPr>
                <w:sz w:val="18"/>
              </w:rPr>
              <w:t>$1,113,359</w:t>
            </w:r>
          </w:p>
        </w:tc>
      </w:tr>
      <w:tr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Breadth 60%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12.20%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222.4%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21.8%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0.511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0.450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0.049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0.337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12.6%</w:t>
            </w:r>
          </w:p>
        </w:tc>
        <w:tc>
          <w:tcPr>
            <w:tcW w:type="dxa" w:w="1066"/>
            <w:shd w:fill="D5F5E3" w:val="clear"/>
          </w:tcPr>
          <w:p>
            <w:r>
              <w:rPr>
                <w:b/>
                <w:sz w:val="18"/>
              </w:rPr>
              <w:t>$3,223,515</w:t>
            </w:r>
          </w:p>
        </w:tc>
      </w:tr>
    </w:tbl>
    <w:p>
      <w:r>
        <w:rPr>
          <w:i/>
          <w:color w:val="787878"/>
          <w:sz w:val="16"/>
        </w:rPr>
        <w:t>* 50% threshold: Strategy was in cash almost the entire period (stats unavailable). Green highlight = best risk-adjusted variant.</w:t>
      </w:r>
    </w:p>
    <w:p/>
    <w:p>
      <w:r>
        <w:rPr>
          <w:b/>
          <w:color w:val="1F4E79"/>
          <w:sz w:val="24"/>
        </w:rPr>
        <w:t>Key Takeaways</w:t>
      </w:r>
    </w:p>
    <w:p>
      <w:r>
        <w:rPr>
          <w:sz w:val="18"/>
        </w:rPr>
        <w:t>1. 60% Threshold is the clear winner on a risk-adjusted basis. It delivers the highest Sharpe (0.511 vs baseline 0.508), cuts max drawdown nearly in half (21.8% vs 39.8%), and reduces annualized vol from 16.7% to 12.6% -- while preserving most of the return (12.2% CAGR vs 14.3%).</w:t>
      </w:r>
    </w:p>
    <w:p>
      <w:r>
        <w:rPr>
          <w:sz w:val="18"/>
        </w:rPr>
        <w:t>2. The overlay's primary benefit is drawdown reduction, not return enhancement. All overlay variants underperform the raw baseline on total return, but they significantly reduce the severity and duration of drawdowns.</w:t>
      </w:r>
    </w:p>
    <w:p>
      <w:r>
        <w:rPr>
          <w:sz w:val="18"/>
        </w:rPr>
        <w:t>3. 30% and 40% thresholds are too loose. They let in more risk (31.7% and 35.8% DD) while materially hurting returns -- worst of both worlds.</w:t>
      </w:r>
    </w:p>
    <w:p>
      <w:r>
        <w:rPr>
          <w:sz w:val="18"/>
        </w:rPr>
        <w:t>4. 50% is too aggressive. The breadth requirement is so strict that international markets almost never qualify, leaving the portfolio in cash for the vast majority of the period.</w:t>
      </w:r>
    </w:p>
    <w:p>
      <w:r>
        <w:rPr>
          <w:sz w:val="18"/>
        </w:rPr>
        <w:t>5. Beta compression is dramatic at 60%: 0.337 vs 0.80 baseline. The strategy captures upside selectively while avoiding broad-based selloffs.</w:t>
      </w:r>
    </w:p>
    <w:p/>
    <w:p>
      <w:r>
        <w:rPr>
          <w:b/>
          <w:color w:val="1F4E79"/>
          <w:sz w:val="24"/>
        </w:rPr>
        <w:t>Recommendation</w:t>
      </w:r>
    </w:p>
    <w:p>
      <w:r>
        <w:rPr>
          <w:b/>
          <w:sz w:val="20"/>
        </w:rPr>
        <w:t xml:space="preserve">Adopt the 60% breadth threshold overlay. </w:t>
      </w:r>
      <w:r>
        <w:rPr>
          <w:sz w:val="20"/>
        </w:rPr>
        <w:t>The trade-off is compelling: sacrifice ~2% CAGR (14.3% -&gt; 12.2%) in exchange for an 18-percentage-point reduction in max drawdown (39.8% -&gt; 21.8%) and 4% lower annualized vol. The Sharpe ratio actually improves slightly (0.508 -&gt; 0.511), and alpha holds at 0.049. Beta drops from 0.80 to 0.34, meaning the strategy captures return with far less market exposure.</w:t>
      </w:r>
    </w:p>
    <w:p/>
    <w:p>
      <w:r>
        <w:rPr>
          <w:b/>
          <w:color w:val="1F4E79"/>
          <w:sz w:val="20"/>
        </w:rPr>
        <w:t>QuantConnect Backtest Links</w:t>
      </w:r>
    </w:p>
    <w:p>
      <w:r>
        <w:rPr>
          <w:b/>
          <w:sz w:val="16"/>
        </w:rPr>
        <w:t xml:space="preserve">Baseline: </w:t>
      </w:r>
      <w:r>
        <w:rPr>
          <w:color w:val="0066CC"/>
          <w:sz w:val="16"/>
        </w:rPr>
        <w:t>https://www.quantconnect.com/terminal/28624941#open/912a29bf64b140adfb7a246246aa3dbd</w:t>
      </w:r>
    </w:p>
    <w:p>
      <w:r>
        <w:rPr>
          <w:b/>
          <w:sz w:val="16"/>
        </w:rPr>
        <w:t xml:space="preserve">30% Threshold: </w:t>
      </w:r>
      <w:r>
        <w:rPr>
          <w:color w:val="0066CC"/>
          <w:sz w:val="16"/>
        </w:rPr>
        <w:t>https://www.quantconnect.com/terminal/28632343#open/26aeb6759024e7ae90ebc83e7a8b4ac0</w:t>
      </w:r>
    </w:p>
    <w:p>
      <w:r>
        <w:rPr>
          <w:b/>
          <w:sz w:val="16"/>
        </w:rPr>
        <w:t xml:space="preserve">40% Threshold: </w:t>
      </w:r>
      <w:r>
        <w:rPr>
          <w:color w:val="0066CC"/>
          <w:sz w:val="16"/>
        </w:rPr>
        <w:t>https://www.quantconnect.com/terminal/28632371#open/9ec8cf5e1fa3d19f2fe1fba15f42fc7b</w:t>
      </w:r>
    </w:p>
    <w:p>
      <w:r>
        <w:rPr>
          <w:b/>
          <w:sz w:val="16"/>
        </w:rPr>
        <w:t xml:space="preserve">50% Threshold: </w:t>
      </w:r>
      <w:r>
        <w:rPr>
          <w:color w:val="0066CC"/>
          <w:sz w:val="16"/>
        </w:rPr>
        <w:t>https://www.quantconnect.com/terminal/28632398#open/3cdd4c0548c9c2ce66130aa9f76b8f12</w:t>
      </w:r>
    </w:p>
    <w:p>
      <w:r>
        <w:rPr>
          <w:b/>
          <w:sz w:val="16"/>
        </w:rPr>
        <w:t xml:space="preserve">60% Threshold: </w:t>
      </w:r>
      <w:r>
        <w:rPr>
          <w:color w:val="0066CC"/>
          <w:sz w:val="16"/>
        </w:rPr>
        <w:t>https://www.quantconnect.com/terminal/28632421#open/fe32f62bbd246dfea5e938329309e071</w:t>
      </w:r>
    </w:p>
    <w:sectPr w:rsidR="00FC693F" w:rsidRPr="0006063C" w:rsidSect="00034616">
      <w:pgSz w:w="12240" w:h="15840"/>
      <w:pgMar w:top="864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