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CRTPX Strategy Specification for AmiBroker Testing</w:t>
      </w:r>
    </w:p>
    <w:p>
      <w:pPr>
        <w:spacing w:after="40"/>
      </w:pPr>
      <w:r>
        <w:rPr>
          <w:rFonts w:ascii="Calibri" w:hAnsi="Calibri"/>
          <w:b w:val="0"/>
          <w:sz w:val="18"/>
        </w:rPr>
        <w:t>Potomac Fund Management  |  Prepared by Woody Wiegmann  |  February 2026</w:t>
      </w:r>
    </w:p>
    <w:p>
      <w:pPr>
        <w:spacing w:after="120"/>
      </w:pPr>
      <w:r>
        <w:rPr>
          <w:rFonts w:ascii="Calibri" w:hAnsi="Calibri"/>
          <w:b w:val="0"/>
          <w:sz w:val="18"/>
        </w:rPr>
        <w:t>Two variants of the Tactically Passive strategy for CRTPX, each with integrated tax-loss harvesting.</w:t>
      </w:r>
    </w:p>
    <w:p>
      <w:r>
        <w:br w:type="page"/>
      </w:r>
    </w:p>
    <w:p>
      <w:pPr>
        <w:pStyle w:val="Heading1"/>
      </w:pPr>
      <w:r>
        <w:rPr>
          <w:color w:val="003366"/>
        </w:rPr>
        <w:t>Strategy A: CRTPX Passive + TLH</w:t>
      </w:r>
    </w:p>
    <w:p>
      <w:pPr>
        <w:spacing w:after="60"/>
      </w:pPr>
      <w:r>
        <w:rPr>
          <w:rFonts w:ascii="Calibri" w:hAnsi="Calibri"/>
          <w:b/>
          <w:sz w:val="22"/>
        </w:rPr>
        <w:t>Overview</w:t>
      </w:r>
    </w:p>
    <w:p>
      <w:pPr>
        <w:spacing w:after="120"/>
      </w:pPr>
      <w:r>
        <w:rPr>
          <w:rFonts w:ascii="Calibri" w:hAnsi="Calibri"/>
          <w:b w:val="0"/>
          <w:sz w:val="20"/>
        </w:rPr>
        <w:t>Binary risk-on/risk-off toggle on the S&amp;P 500 using a 4-indicator Penta signal. When risk-on, hold 100% VOO. When risk-off, hold 100% SGOV. Tax-loss harvesting via a 3-ticker swap ring on each side.</w:t>
      </w:r>
    </w:p>
    <w:p>
      <w:pPr>
        <w:pStyle w:val="Heading2"/>
      </w:pPr>
      <w:r>
        <w:rPr>
          <w:color w:val="003366"/>
        </w:rPr>
        <w:t>Signal Architecture (Penta)</w:t>
      </w:r>
    </w:p>
    <w:p>
      <w:pPr>
        <w:spacing w:after="80"/>
      </w:pPr>
      <w:r>
        <w:rPr>
          <w:rFonts w:ascii="Calibri" w:hAnsi="Calibri"/>
          <w:b w:val="0"/>
          <w:sz w:val="20"/>
        </w:rPr>
        <w:t>Four binary trend indicators, each comparing the asset's closing price to its 50-day simple moving average (SMA). A signal is GREEN if price &gt; SMA, RED otherwise.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Indicator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Ticker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S&amp;P 500 Trend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SPY (or ^GSPC)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Close &gt; 50-day SMA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Transports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IYT (or ^DJT)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Close &gt; 50-day SMA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NYSE Breadth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^NYA (or VTI)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Close &gt; 50-day SMA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Corporate Credit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LQD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Close &gt; 50-day SMA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sz w:val="20"/>
        </w:rPr>
      </w:r>
    </w:p>
    <w:p>
      <w:pPr>
        <w:spacing w:after="60"/>
      </w:pPr>
      <w:r>
        <w:rPr>
          <w:rFonts w:ascii="Calibri" w:hAnsi="Calibri"/>
          <w:b/>
          <w:sz w:val="20"/>
        </w:rPr>
        <w:t>Decision Rule:</w:t>
      </w:r>
    </w:p>
    <w:p>
      <w:pPr>
        <w:spacing w:after="120"/>
      </w:pPr>
      <w:r>
        <w:rPr>
          <w:rFonts w:ascii="Calibri" w:hAnsi="Calibri"/>
          <w:b w:val="0"/>
          <w:sz w:val="20"/>
        </w:rPr>
        <w:t>Penta Score = sum of 4 binary indicators (0-4).</w:t>
        <w:br/>
        <w:t>Risk-ON if score &gt;= 3 (3 or 4 green). Risk-OFF if score &lt;= 2.</w:t>
        <w:br/>
        <w:t>3-day confirmation: the new regime must persist for 3 consecutive trading days before a switch is executed. This filters whipsaws.</w:t>
      </w:r>
    </w:p>
    <w:p>
      <w:pPr>
        <w:pStyle w:val="Heading2"/>
      </w:pPr>
      <w:r>
        <w:rPr>
          <w:color w:val="003366"/>
        </w:rPr>
        <w:t>Allocations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Regime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Holding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Expense Ratio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6"/>
              </w:rPr>
              <w:t>Risk-On (Penta &gt;= 3)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VOO (Vanguard S&amp;P 500)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100%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6"/>
              </w:rPr>
              <w:t>Risk-Off (Penta &lt;= 2)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SGOV (0-3mo T-Bills)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100%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0.03%</w:t>
            </w:r>
          </w:p>
        </w:tc>
      </w:tr>
    </w:tbl>
    <w:p>
      <w:pPr>
        <w:pStyle w:val="Heading2"/>
      </w:pPr>
      <w:r>
        <w:rPr>
          <w:color w:val="003366"/>
        </w:rPr>
        <w:t>Tax-Loss Harvesting</w:t>
      </w:r>
    </w:p>
    <w:p>
      <w:pPr>
        <w:spacing w:after="80"/>
      </w:pPr>
      <w:r>
        <w:rPr>
          <w:rFonts w:ascii="Calibri" w:hAnsi="Calibri"/>
          <w:b w:val="0"/>
          <w:sz w:val="20"/>
        </w:rPr>
        <w:t>When any holding has an unrealized loss exceeding 3%, sell and immediately buy the next ticker in the swap ring. Track 31-day wash sale window per ticker.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Side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Primary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Swap 1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Swap 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6"/>
              </w:rPr>
              <w:t>Equity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VOO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IVV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SPLG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16"/>
              </w:rPr>
              <w:t>Cash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SGOV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BIL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SHV</w:t>
            </w:r>
          </w:p>
        </w:tc>
      </w:tr>
    </w:tbl>
    <w:p>
      <w:pPr>
        <w:pStyle w:val="Heading2"/>
      </w:pPr>
      <w:r>
        <w:rPr>
          <w:color w:val="003366"/>
        </w:rPr>
        <w:t>AmiBroker AFL Code</w:t>
      </w:r>
    </w:p>
    <w:p>
      <w:pPr>
        <w:spacing w:before="80" w:after="80"/>
      </w:pPr>
      <w:r>
        <w:rPr>
          <w:rFonts w:ascii="Consolas" w:hAnsi="Consolas"/>
          <w:color w:val="000000"/>
          <w:sz w:val="15"/>
        </w:rPr>
        <w:t>// ══════════════════════════════════════════════════════════</w:t>
        <w:br/>
        <w:t>// CRTPX STRATEGY A: PASSIVE + TLH</w:t>
        <w:br/>
        <w:t>// ══════════════════════════════════════════════════════════</w:t>
        <w:br/>
        <w:br/>
        <w:t>SMA_Period = 50;</w:t>
        <w:br/>
        <w:t>ConfirmDays = 3;</w:t>
        <w:br/>
        <w:br/>
        <w:t>// Penta Indicators (each: price &gt; 50-day SMA = 1, else 0)</w:t>
        <w:br/>
        <w:t>Penta1 = Foreign("SPY","C") &gt; MA(Foreign("SPY","C"), SMA_Period);</w:t>
        <w:br/>
        <w:t>Penta2 = Foreign("IYT","C") &gt; MA(Foreign("IYT","C"), SMA_Period);</w:t>
        <w:br/>
        <w:t>Penta3 = Foreign("~NYA","C") &gt; MA(Foreign("~NYA","C"), SMA_Period);</w:t>
        <w:br/>
        <w:t>Penta4 = Foreign("LQD","C") &gt; MA(Foreign("LQD","C"), SMA_Period);</w:t>
        <w:br/>
        <w:br/>
        <w:t>PentaScore = Penta1 + Penta2 + Penta3 + Penta4;</w:t>
        <w:br/>
        <w:br/>
        <w:t>// Raw signal</w:t>
        <w:br/>
        <w:t>RawOn = PentaScore &gt;= 3;</w:t>
        <w:br/>
        <w:br/>
        <w:t>// 3-day confirmation filter</w:t>
        <w:br/>
        <w:t>ConfirmedOn  = Sum(RawOn, ConfirmDays) == ConfirmDays;</w:t>
        <w:br/>
        <w:t>ConfirmedOff = Sum(!RawOn, ConfirmDays) == ConfirmDays;</w:t>
        <w:br/>
        <w:br/>
        <w:t>// Trade signals (for SPY/VOO as the traded instrument)</w:t>
        <w:br/>
        <w:t>Buy  = ExRem(ConfirmedOn, ConfirmedOff);</w:t>
        <w:br/>
        <w:t>Sell = ExRem(ConfirmedOff, ConfirmedOn);</w:t>
        <w:br/>
        <w:br/>
        <w:t>// Position sizing: 100% equity when in, 0% when out</w:t>
        <w:br/>
        <w:t>// Risk-off return: apply Foreign("SGOV","C") or set to cash</w:t>
        <w:br/>
        <w:t>SetPositionSize(100, spsPercentOfEquity);</w:t>
      </w:r>
    </w:p>
    <w:p>
      <w:pPr>
        <w:pStyle w:val="Heading2"/>
      </w:pPr>
      <w:r>
        <w:rPr>
          <w:color w:val="003366"/>
        </w:rPr>
        <w:t>QuantConnect Backtest Results (June 2019 - Feb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CAGR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11.27%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Total Return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103.9%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Max Drawdown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-13.9%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Sharpe Ratio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0.54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Sortino Ratio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0.48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Alpha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Beta (vs SPY)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0.31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Annual Std Dev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9.3%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Win Rate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Avg Win / Avg Loss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4.07% / -1.50%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Regime Switches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~32 (4.8/year)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16"/>
              </w:rPr>
              <w:t>Total Fees ($1M)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$5,478</w:t>
            </w:r>
          </w:p>
        </w:tc>
      </w:tr>
    </w:tbl>
    <w:p>
      <w:pPr>
        <w:pStyle w:val="Heading2"/>
      </w:pPr>
      <w:r>
        <w:rPr>
          <w:color w:val="003366"/>
        </w:rPr>
        <w:t>Sensitivity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Test Range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SMA Period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50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20, 50, 100, 200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Confirmation Days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1, 2, 3, 5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Penta Threshold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 of 4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2/4, 3/4, 4/4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TLH Loss Trigger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-3%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-2%, -3%, -5%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Strategy B: CRTPX Enhanced (Convex Risk-Off) + TLH</w:t>
      </w:r>
    </w:p>
    <w:p>
      <w:pPr>
        <w:spacing w:after="60"/>
      </w:pPr>
      <w:r>
        <w:rPr>
          <w:rFonts w:ascii="Calibri" w:hAnsi="Calibri"/>
          <w:b/>
          <w:sz w:val="22"/>
        </w:rPr>
        <w:t>Overview</w:t>
      </w:r>
    </w:p>
    <w:p>
      <w:pPr>
        <w:spacing w:after="120"/>
      </w:pPr>
      <w:r>
        <w:rPr>
          <w:rFonts w:ascii="Calibri" w:hAnsi="Calibri"/>
          <w:b w:val="0"/>
          <w:sz w:val="20"/>
        </w:rPr>
        <w:t>Identical Penta signal and risk-on allocation as Strategy A. The difference: instead of parking 100% in T-bills during risk-off, we allocate to a defensive blend designed to generate positive returns during drawdowns while preserving capital.</w:t>
      </w:r>
    </w:p>
    <w:p>
      <w:pPr>
        <w:pStyle w:val="Heading2"/>
      </w:pPr>
      <w:r>
        <w:rPr>
          <w:color w:val="003366"/>
        </w:rPr>
        <w:t>Academic Basis</w:t>
      </w:r>
    </w:p>
    <w:p>
      <w:pPr>
        <w:spacing w:after="80"/>
      </w:pPr>
      <w:r>
        <w:rPr>
          <w:rFonts w:ascii="Calibri" w:hAnsi="Calibri"/>
          <w:b w:val="0"/>
          <w:sz w:val="20"/>
        </w:rPr>
        <w:t>Baltussen, Martens &amp; van der Linden, "The Best Defensive Strategies: Two Centuries of Evidence," Financial Analysts Journal, Vol. 82(1), Jan 2026. Key findings over a 222-year sample (1800-2021):</w:t>
      </w:r>
    </w:p>
    <w:p>
      <w:pPr>
        <w:spacing w:after="120"/>
      </w:pPr>
      <w:r>
        <w:rPr>
          <w:rFonts w:ascii="Calibri" w:hAnsi="Calibri"/>
          <w:b w:val="0"/>
          <w:sz w:val="20"/>
        </w:rPr>
        <w:t>1. Trend-following is the strongest standalone defensive strategy (4.8% return at 5% vol). Positive in BOTH up and down markets.</w:t>
        <w:br/>
        <w:br/>
        <w:t>2. DAR4020 (defensive absolute return) provides immediate put-like protection at the onset of drawdowns, before trend-following can reposition. Negative beta to 60/40.</w:t>
        <w:br/>
        <w:br/>
        <w:t>3. 50/50 blend of trend-following + DAR4020 is optimal: reduces &gt;20% drawdowns from -37.6% to -15.1%, IR of 1.37.</w:t>
        <w:br/>
        <w:br/>
        <w:t>4. Gold is unreliable as a defensive strategy over 222 years (negative returns in worst months).</w:t>
        <w:br/>
        <w:br/>
        <w:t>5. Treasuries are historically unreliable as an equity hedge.</w:t>
      </w:r>
    </w:p>
    <w:p>
      <w:pPr>
        <w:pStyle w:val="Heading2"/>
      </w:pPr>
      <w:r>
        <w:rPr>
          <w:color w:val="003366"/>
        </w:rPr>
        <w:t>Risk-Off Allocation (Paper-Informed)</w:t>
      </w:r>
    </w:p>
    <w:p>
      <w:pPr>
        <w:spacing w:after="80"/>
      </w:pPr>
      <w:r>
        <w:rPr>
          <w:rFonts w:ascii="Calibri" w:hAnsi="Calibri"/>
          <w:b w:val="0"/>
          <w:sz w:val="20"/>
        </w:rPr>
        <w:t>We map the paper's findings to investable ETFs: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Paper Concept</w:t>
            </w:r>
          </w:p>
        </w:tc>
        <w:tc>
          <w:tcPr>
            <w:tcW w:type="dxa" w:w="199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ETF</w:t>
            </w:r>
          </w:p>
        </w:tc>
        <w:tc>
          <w:tcPr>
            <w:tcW w:type="dxa" w:w="199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99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99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Expense Ratio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16"/>
              </w:rPr>
              <w:t>Trend-following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DBMF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40%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Managed futures, positive returns in crises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0.85%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16"/>
              </w:rPr>
              <w:t>Convexity / DAR proxy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CAOS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30%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Put-like payoff, immediate drawdown protection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0.59%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16"/>
              </w:rPr>
              <w:t>Cash anchor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SGOV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30%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Capital preservation, zero equity beta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0.03%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sz w:val="20"/>
        </w:rPr>
      </w:r>
    </w:p>
    <w:p>
      <w:pPr>
        <w:spacing w:after="80"/>
      </w:pPr>
      <w:r>
        <w:rPr>
          <w:rFonts w:ascii="Calibri" w:hAnsi="Calibri"/>
          <w:b w:val="0"/>
          <w:sz w:val="20"/>
        </w:rPr>
        <w:t>Why not gold? The Baltussen paper shows gold has NEGATIVE returns in the worst 10% of 60/40 months over 222 years. It delivered in 1973-74 and 2007-09 but failed in most other drawdowns.</w:t>
      </w:r>
    </w:p>
    <w:p>
      <w:pPr>
        <w:spacing w:after="120"/>
      </w:pPr>
      <w:r>
        <w:rPr>
          <w:rFonts w:ascii="Calibri" w:hAnsi="Calibri"/>
          <w:b w:val="0"/>
          <w:sz w:val="20"/>
        </w:rPr>
        <w:t>Why CAOS over puts? CAOS provides the convex payoff profile of a put overlay without the constant premium bleed. It maps to the paper's DAR4020 concept: immediate protection at drawdown onset.</w:t>
      </w:r>
    </w:p>
    <w:p>
      <w:pPr>
        <w:pStyle w:val="Heading2"/>
      </w:pPr>
      <w:r>
        <w:rPr>
          <w:color w:val="003366"/>
        </w:rPr>
        <w:t>Full Allocation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Regime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Risk-On (Penta &gt;= 3)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VOO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Risk-Off (Penta &lt;= 2)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DBMF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CAOS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SGOV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30%</w:t>
            </w:r>
          </w:p>
        </w:tc>
      </w:tr>
    </w:tbl>
    <w:p>
      <w:pPr>
        <w:pStyle w:val="Heading2"/>
      </w:pPr>
      <w:r>
        <w:rPr>
          <w:color w:val="003366"/>
        </w:rPr>
        <w:t>AmiBroker AFL Code</w:t>
      </w:r>
    </w:p>
    <w:p>
      <w:pPr>
        <w:spacing w:before="80" w:after="80"/>
      </w:pPr>
      <w:r>
        <w:rPr>
          <w:rFonts w:ascii="Consolas" w:hAnsi="Consolas"/>
          <w:color w:val="000000"/>
          <w:sz w:val="15"/>
        </w:rPr>
        <w:t>// ══════════════════════════════════════════════════════════</w:t>
        <w:br/>
        <w:t>// CRTPX STRATEGY B: ENHANCED (CONVEX RISK-OFF) + TLH</w:t>
        <w:br/>
        <w:t>// ══════════════════════════════════════════════════════════</w:t>
        <w:br/>
        <w:t>// Signal is IDENTICAL to Strategy A.</w:t>
        <w:br/>
        <w:t>// Only the risk-off allocation changes.</w:t>
        <w:br/>
        <w:br/>
        <w:t>SMA_Period = 50;</w:t>
        <w:br/>
        <w:t>ConfirmDays = 3;</w:t>
        <w:br/>
        <w:br/>
        <w:t>Penta1 = Foreign("SPY","C") &gt; MA(Foreign("SPY","C"), SMA_Period);</w:t>
        <w:br/>
        <w:t>Penta2 = Foreign("IYT","C") &gt; MA(Foreign("IYT","C"), SMA_Period);</w:t>
        <w:br/>
        <w:t>Penta3 = Foreign("~NYA","C") &gt; MA(Foreign("~NYA","C"), SMA_Period);</w:t>
        <w:br/>
        <w:t>Penta4 = Foreign("LQD","C") &gt; MA(Foreign("LQD","C"), SMA_Period);</w:t>
        <w:br/>
        <w:br/>
        <w:t>PentaScore = Penta1 + Penta2 + Penta3 + Penta4;</w:t>
        <w:br/>
        <w:t>RawOn = PentaScore &gt;= 3;</w:t>
        <w:br/>
        <w:t>ConfirmedOn  = Sum(RawOn, ConfirmDays) == ConfirmDays;</w:t>
        <w:br/>
        <w:t>ConfirmedOff = Sum(!RawOn, ConfirmDays) == ConfirmDays;</w:t>
        <w:br/>
        <w:br/>
        <w:t>Buy  = ExRem(ConfirmedOn, ConfirmedOff);</w:t>
        <w:br/>
        <w:t>Sell = ExRem(ConfirmedOff, ConfirmedOn);</w:t>
        <w:br/>
        <w:br/>
        <w:t>SetPositionSize(100, spsPercentOfEquity);</w:t>
        <w:br/>
        <w:br/>
        <w:t>// ── RISK-OFF PORTFOLIO (run as separate backtest or composite) ──</w:t>
        <w:br/>
        <w:t>// When Sell fires, allocate to:</w:t>
        <w:br/>
        <w:t>//   40% DBMF (managed futures / trend-following)</w:t>
        <w:br/>
        <w:t>//   30% CAOS (tail-risk convexity)</w:t>
        <w:br/>
        <w:t>//   30% SGOV (T-bills)</w:t>
        <w:br/>
        <w:t>//</w:t>
        <w:br/>
        <w:t>// In AmiBroker, model this as a rotational system or use</w:t>
        <w:br/>
        <w:t>// SetForeign() to compute the blended risk-off return:</w:t>
        <w:br/>
        <w:t>//</w:t>
        <w:br/>
        <w:t>// RiskOffReturn = 0.40 * ROC(Foreign("DBMF","C"),1)/100</w:t>
        <w:br/>
        <w:t>//              + 0.30 * ROC(Foreign("CAOS","C"),1)/100</w:t>
        <w:br/>
        <w:t>//              + 0.30 * ROC(Foreign("SGOV","C"),1)/100;</w:t>
      </w:r>
    </w:p>
    <w:p>
      <w:pPr>
        <w:pStyle w:val="Heading2"/>
      </w:pPr>
      <w:r>
        <w:rPr>
          <w:color w:val="003366"/>
        </w:rPr>
        <w:t>QuantConnect Backtest Results (June 2021 - Feb 2026)</w:t>
      </w:r>
    </w:p>
    <w:p>
      <w:pPr>
        <w:spacing w:after="80"/>
      </w:pPr>
      <w:r>
        <w:rPr>
          <w:rFonts w:ascii="Calibri" w:hAnsi="Calibri"/>
          <w:b w:val="0"/>
          <w:sz w:val="18"/>
        </w:rPr>
        <w:t>Note: Shorter backtest period due to CAOS inception (Feb 2021).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Strategy B (Enhanced)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Strategy A (Passive)*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CAGR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11.78%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11.27%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Total Return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68.3%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103.9%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Max Drawdown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-16.3%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-13.9%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Sharpe Ratio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0.50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0.54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Sortino Ratio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0.56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0.48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Alpha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0.026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0.02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Beta (vs SPY)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0.31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0.31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Win Rate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67%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60%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Total Fees ($1M)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$4,419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$5,478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sz w:val="16"/>
        </w:rPr>
        <w:t>*Strategy A covers June 2019-Feb 2026. Strategy B covers June 2021-Feb 2026 due to CAOS data availability. Direct comparison requires same-period test.</w:t>
      </w:r>
    </w:p>
    <w:p>
      <w:pPr>
        <w:pStyle w:val="Heading2"/>
      </w:pPr>
      <w:r>
        <w:rPr>
          <w:color w:val="003366"/>
        </w:rPr>
        <w:t>Sensitivity Parameters (Additional for Strategy 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Test Range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DBMF Weight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40%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30%, 40%, 50%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CAOS Weight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20%, 30%, 40%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SGOV Weight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30%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20%, 30%, 40%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Alt: Replace CAOS with HEQT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Test 30% HEQT variant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16"/>
              </w:rPr>
              <w:t>Alt: Replace CAOS with TAIL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Test 30% TAIL variant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Tax-Loss Harvesting: Operational Playbook</w:t>
      </w:r>
    </w:p>
    <w:p>
      <w:pPr>
        <w:spacing w:after="120"/>
      </w:pPr>
      <w:r>
        <w:rPr>
          <w:rFonts w:ascii="Calibri" w:hAnsi="Calibri"/>
          <w:b w:val="0"/>
          <w:sz w:val="20"/>
        </w:rPr>
        <w:t>The TLH layer is identical for both strategies. It does not change the backtest return profile -- it is purely a tax alpha overlay. It executes at the fund level on every regime transition and daily when any holding is down &gt;3%.</w:t>
      </w:r>
    </w:p>
    <w:p>
      <w:pPr>
        <w:pStyle w:val="Heading2"/>
      </w:pPr>
      <w:r>
        <w:rPr>
          <w:color w:val="003366"/>
        </w:rPr>
        <w:t>Swap Rings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Side</w:t>
            </w:r>
          </w:p>
        </w:tc>
        <w:tc>
          <w:tcPr>
            <w:tcW w:type="dxa" w:w="199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Primary</w:t>
            </w:r>
          </w:p>
        </w:tc>
        <w:tc>
          <w:tcPr>
            <w:tcW w:type="dxa" w:w="199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Swap 1</w:t>
            </w:r>
          </w:p>
        </w:tc>
        <w:tc>
          <w:tcPr>
            <w:tcW w:type="dxa" w:w="199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Swap 2</w:t>
            </w:r>
          </w:p>
        </w:tc>
        <w:tc>
          <w:tcPr>
            <w:tcW w:type="dxa" w:w="199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Correlation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16"/>
              </w:rPr>
              <w:t>S&amp;P 500 Equity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VOO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IVV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SPLG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&gt;0.99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sz w:val="16"/>
              </w:rPr>
              <w:t>T-Bills / Cash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SGOV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BIL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SHV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16"/>
              </w:rPr>
              <w:t>&gt;0.99</w:t>
            </w:r>
          </w:p>
        </w:tc>
      </w:tr>
    </w:tbl>
    <w:p>
      <w:pPr>
        <w:pStyle w:val="Heading2"/>
      </w:pPr>
      <w:r>
        <w:rPr>
          <w:color w:val="003366"/>
        </w:rPr>
        <w:t>Execution Sequence</w:t>
      </w:r>
    </w:p>
    <w:p>
      <w:pPr>
        <w:spacing w:after="60"/>
      </w:pPr>
      <w:r>
        <w:rPr>
          <w:rFonts w:ascii="Calibri" w:hAnsi="Calibri"/>
          <w:b/>
          <w:sz w:val="20"/>
        </w:rPr>
        <w:t>On Risk-On to Risk-Off Transition:</w:t>
      </w:r>
    </w:p>
    <w:p>
      <w:pPr>
        <w:spacing w:after="80"/>
      </w:pPr>
      <w:r>
        <w:rPr>
          <w:rFonts w:ascii="Calibri" w:hAnsi="Calibri"/>
          <w:b w:val="0"/>
          <w:sz w:val="20"/>
        </w:rPr>
        <w:t>1. Screen equity holding (VOO/IVV/SPLG) for unrealized loss.</w:t>
        <w:br/>
        <w:t>2. If loss exists: SELL the loser first (harvest the loss).</w:t>
        <w:br/>
        <w:t>3. Immediately BUY defensive allocation (Strategy A: SGOV; Strategy B: DBMF/CAOS/SGOV).</w:t>
        <w:br/>
        <w:t>4. Record the sold ticker and wash sale expiry date (T+31 calendar days).</w:t>
        <w:br/>
        <w:t>5. If the signal reverses within 31 days, buy the NEXT ticker in the ring.</w:t>
        <w:br/>
      </w:r>
    </w:p>
    <w:p>
      <w:pPr>
        <w:spacing w:after="60"/>
      </w:pPr>
      <w:r>
        <w:rPr>
          <w:rFonts w:ascii="Calibri" w:hAnsi="Calibri"/>
          <w:b/>
          <w:sz w:val="20"/>
        </w:rPr>
        <w:t>On Risk-Off to Risk-On Transition:</w:t>
      </w:r>
    </w:p>
    <w:p>
      <w:pPr>
        <w:spacing w:after="80"/>
      </w:pPr>
      <w:r>
        <w:rPr>
          <w:rFonts w:ascii="Calibri" w:hAnsi="Calibri"/>
          <w:b w:val="0"/>
          <w:sz w:val="20"/>
        </w:rPr>
        <w:t>1. Screen defensive holdings for unrealized loss.</w:t>
        <w:br/>
        <w:t>2. If loss exists: SELL the loser first (harvest).</w:t>
        <w:br/>
        <w:t>3. BUY equity -- use the next available ticker in the ring.</w:t>
        <w:br/>
        <w:t>4. Record wash sale dates.</w:t>
        <w:br/>
      </w:r>
    </w:p>
    <w:p>
      <w:pPr>
        <w:spacing w:after="60"/>
      </w:pPr>
      <w:r>
        <w:rPr>
          <w:rFonts w:ascii="Calibri" w:hAnsi="Calibri"/>
          <w:b/>
          <w:sz w:val="20"/>
        </w:rPr>
        <w:t>Daily TLH Scan:</w:t>
      </w:r>
    </w:p>
    <w:p>
      <w:pPr>
        <w:spacing w:after="120"/>
      </w:pPr>
      <w:r>
        <w:rPr>
          <w:rFonts w:ascii="Calibri" w:hAnsi="Calibri"/>
          <w:b w:val="0"/>
          <w:sz w:val="20"/>
        </w:rPr>
        <w:t>1. Check current holding's unrealized P&amp;L.</w:t>
        <w:br/>
        <w:t>2. If loss &gt; 3%: SELL, BUY next in ring, record wash sale.</w:t>
        <w:br/>
        <w:t>3. This harvests losses mid-regime without changing exposure.</w:t>
      </w:r>
    </w:p>
    <w:p>
      <w:pPr>
        <w:pStyle w:val="Heading2"/>
      </w:pPr>
      <w:r>
        <w:rPr>
          <w:color w:val="003366"/>
        </w:rPr>
        <w:t>Wash Sale Rules</w:t>
      </w:r>
    </w:p>
    <w:p>
      <w:pPr>
        <w:spacing w:after="120"/>
      </w:pPr>
      <w:r>
        <w:rPr>
          <w:rFonts w:ascii="Calibri" w:hAnsi="Calibri"/>
          <w:b w:val="0"/>
          <w:sz w:val="20"/>
        </w:rPr>
        <w:t>- 31 calendar day window per ticker after a loss sale.</w:t>
        <w:br/>
        <w:t>- During the window, do NOT repurchase the same ticker in ANY account.</w:t>
        <w:br/>
        <w:t>- The swap ring has 3 tickers so there is always an available substitute.</w:t>
        <w:br/>
        <w:t>- After 31 days, consolidate back to primary ticker if desired.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Validation Checklist for AmiBroker Testing</w:t>
      </w:r>
    </w:p>
    <w:p>
      <w:pPr>
        <w:spacing w:after="120"/>
      </w:pPr>
      <w:r>
        <w:rPr>
          <w:rFonts w:ascii="Calibri" w:hAnsi="Calibri"/>
          <w:b w:val="0"/>
          <w:sz w:val="20"/>
        </w:rPr>
        <w:t>1. Signal Switch Count: ~4-5 regime switches per year. If AmiBroker produces significantly more or fewer, check SMA period and confirmation lag.</w:t>
        <w:br/>
        <w:br/>
        <w:t>2. Max Drawdown: Strategy A should land near -14%, Strategy B near -16%.</w:t>
        <w:br/>
        <w:br/>
        <w:t>3. Beta: Both strategies should show beta ~0.31 vs SPY.</w:t>
        <w:br/>
        <w:br/>
        <w:t>4. Risk-off Performance: In 2022 (the worst year in-sample), Strategy B should outperform Strategy A due to DBMF's crisis alpha (+24% in 2022).</w:t>
        <w:br/>
        <w:br/>
        <w:t>5. Risk-on Performance: Both strategies should be identical in risk-on periods (both hold 100% VOO).</w:t>
        <w:br/>
        <w:br/>
        <w:t>6. Parameter Sensitivity: If results change dramatically with small parameter changes, the strategy is overfit. The Penta signal should be robust to SMA period (50 vs 100 should produce similar switch counts).</w:t>
      </w:r>
    </w:p>
    <w:p>
      <w:pPr>
        <w:pStyle w:val="Heading2"/>
      </w:pPr>
      <w:r>
        <w:rPr>
          <w:color w:val="003366"/>
        </w:rPr>
        <w:t>Why This Isn't Overfit</w:t>
      </w:r>
    </w:p>
    <w:p>
      <w:pPr>
        <w:spacing w:after="120"/>
      </w:pPr>
      <w:r>
        <w:rPr>
          <w:rFonts w:ascii="Calibri" w:hAnsi="Calibri"/>
          <w:b w:val="0"/>
          <w:sz w:val="20"/>
        </w:rPr>
        <w:t>- The Penta signal uses 4 well-known market breadth indicators, each with a single parameter (50-day SMA). No curve-fitting.</w:t>
        <w:br/>
        <w:t>- The 3-day confirmation is a standard anti-whipsaw filter, not optimized to this specific backtest period.</w:t>
        <w:br/>
        <w:t>- The risk-off blend in Strategy B is derived from 222 years of evidence (Baltussen et al. 2026, FAJ), not from fitting to CRTPX's short history.</w:t>
        <w:br/>
        <w:t>- The TLH layer has zero impact on investment returns -- it's purely operational.</w:t>
        <w:br/>
        <w:t>- Both strategies have only 2 free parameters: SMA period and confirmation days.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