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color w:val="1A3C5E"/>
          <w:sz w:val="30"/>
        </w:rPr>
        <w:t>POTOMAC FUND MANAGEMENT</w:t>
      </w:r>
    </w:p>
    <w:p>
      <w:pPr>
        <w:spacing w:after="0"/>
      </w:pPr>
      <w:r>
        <w:rPr>
          <w:b/>
          <w:color w:val="333333"/>
          <w:sz w:val="23"/>
        </w:rPr>
        <w:t>BUFR (FT Vest Laddered Buffer ETF): Return Distribution &amp; Tail Analysis</w:t>
      </w:r>
    </w:p>
    <w:p>
      <w:pPr>
        <w:spacing w:after="0"/>
      </w:pPr>
      <w:r>
        <w:rPr>
          <w:color w:val="666666"/>
          <w:sz w:val="20"/>
        </w:rPr>
        <w:t>March 2026  |  Woody Wiegmann</w:t>
      </w:r>
    </w:p>
    <w:p>
      <w:pPr>
        <w:spacing w:before="0" w:after="40"/>
        <w:pBdr>
          <w:bottom w:val="single" w:sz="6" w:space="1" w:color="1A3C5E"/>
        </w:pBdr>
      </w:pPr>
    </w:p>
    <w:p>
      <w:pPr>
        <w:spacing w:after="40"/>
      </w:pPr>
      <w:r>
        <w:rPr>
          <w:b/>
          <w:sz w:val="18"/>
        </w:rPr>
        <w:t xml:space="preserve">Context: </w:t>
      </w:r>
      <w:r>
        <w:rPr>
          <w:sz w:val="18"/>
        </w:rPr>
        <w:t>BUFR is the largest buffer ETF by AUM (~$8.5B). It holds a laddered portfolio of 12 monthly FT Vest 10% buffer ETFs on SPY, resetting one each month. The structure caps upside while absorbing the first 10% of losses in each outcome period. Analysis below uses 1,394 trading days (2020-08-12 to 2026-03-02).</w:t>
      </w:r>
    </w:p>
    <w:p>
      <w:pPr>
        <w:spacing w:before="120" w:after="40"/>
      </w:pPr>
      <w:r>
        <w:rPr>
          <w:b/>
          <w:color w:val="1A3C5E"/>
          <w:sz w:val="19"/>
        </w:rPr>
        <w:t>Daily Return Distribution: BUFR vs SPY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rHeight w:val="255"/>
        </w:trPr>
        <w:tc>
          <w:tcPr>
            <w:tcW w:type="dxa" w:w="2304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1728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BUFR</w:t>
            </w:r>
          </w:p>
        </w:tc>
        <w:tc>
          <w:tcPr>
            <w:tcW w:type="dxa" w:w="1728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SPY</w:t>
            </w:r>
          </w:p>
        </w:tc>
        <w:tc>
          <w:tcPr>
            <w:tcW w:type="dxa" w:w="1728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Difference</w:t>
            </w:r>
          </w:p>
        </w:tc>
      </w:tr>
      <w:tr>
        <w:trPr>
          <w:trHeight w:val="255"/>
        </w:trPr>
        <w:tc>
          <w:tcPr>
            <w:tcW w:type="dxa" w:w="230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Annualized Return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+10.46%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+15.93%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-5.47%</w:t>
            </w:r>
          </w:p>
        </w:tc>
      </w:tr>
      <w:tr>
        <w:trPr>
          <w:trHeight w:val="255"/>
        </w:trPr>
        <w:tc>
          <w:tcPr>
            <w:tcW w:type="dxa" w:w="230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Annualized Volatility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10.31%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17.00%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-6.69%</w:t>
            </w:r>
          </w:p>
        </w:tc>
      </w:tr>
      <w:tr>
        <w:trPr>
          <w:trHeight w:val="255"/>
        </w:trPr>
        <w:tc>
          <w:tcPr>
            <w:tcW w:type="dxa" w:w="230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Skewness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-0.117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+0.212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-0.329</w:t>
            </w:r>
          </w:p>
        </w:tc>
      </w:tr>
      <w:tr>
        <w:trPr>
          <w:trHeight w:val="255"/>
        </w:trPr>
        <w:tc>
          <w:tcPr>
            <w:tcW w:type="dxa" w:w="230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Excess Kurtosis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+6.609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+8.535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-1.927</w:t>
            </w:r>
          </w:p>
        </w:tc>
      </w:tr>
      <w:tr>
        <w:trPr>
          <w:trHeight w:val="255"/>
        </w:trPr>
        <w:tc>
          <w:tcPr>
            <w:tcW w:type="dxa" w:w="230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Worst Day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-4.15%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-5.85%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+1.70%</w:t>
            </w:r>
          </w:p>
        </w:tc>
      </w:tr>
      <w:tr>
        <w:trPr>
          <w:trHeight w:val="255"/>
        </w:trPr>
        <w:tc>
          <w:tcPr>
            <w:tcW w:type="dxa" w:w="230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Best Day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+5.31%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+10.50%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-5.19%</w:t>
            </w:r>
          </w:p>
        </w:tc>
      </w:tr>
      <w:tr>
        <w:trPr>
          <w:trHeight w:val="255"/>
        </w:trPr>
        <w:tc>
          <w:tcPr>
            <w:tcW w:type="dxa" w:w="230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% Positive Days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53.7%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54.7%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-1.1%</w:t>
            </w:r>
          </w:p>
        </w:tc>
      </w:tr>
      <w:tr>
        <w:trPr>
          <w:trHeight w:val="255"/>
        </w:trPr>
        <w:tc>
          <w:tcPr>
            <w:tcW w:type="dxa" w:w="230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Beta to SPY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0.58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1.00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</w:r>
          </w:p>
        </w:tc>
      </w:tr>
      <w:tr>
        <w:trPr>
          <w:trHeight w:val="255"/>
        </w:trPr>
        <w:tc>
          <w:tcPr>
            <w:tcW w:type="dxa" w:w="230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R-squared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91.90%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100%</w:t>
            </w:r>
          </w:p>
        </w:tc>
        <w:tc>
          <w:tcPr>
            <w:tcW w:type="dxa" w:w="172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</w:r>
          </w:p>
        </w:tc>
      </w:tr>
    </w:tbl>
    <w:p>
      <w:pPr>
        <w:spacing w:after="40"/>
      </w:pPr>
      <w:r>
        <w:rPr>
          <w:sz w:val="16"/>
        </w:rPr>
        <w:t>BUFR's daily returns have more negative skew (-0.117 vs +0.212) and thinner tails (excess kurtosis +6.609 vs +8.535) than SPY.</w:t>
      </w:r>
    </w:p>
    <w:p>
      <w:pPr>
        <w:spacing w:before="120" w:after="40"/>
      </w:pPr>
      <w:r>
        <w:rPr>
          <w:b/>
          <w:color w:val="1A3C5E"/>
          <w:sz w:val="19"/>
        </w:rPr>
        <w:t>Left-Tail Exposure: How Much Downside Does BUFR Actually Buffer?</w:t>
      </w:r>
    </w:p>
    <w:p>
      <w:pPr>
        <w:spacing w:after="40"/>
      </w:pPr>
      <w:r>
        <w:rPr>
          <w:sz w:val="16"/>
        </w:rPr>
        <w:t>On SPY's worst days, how much of the loss does BUFR absorb? Lower capture = more protection.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rHeight w:val="255"/>
        </w:trPr>
        <w:tc>
          <w:tcPr>
            <w:tcW w:type="dxa" w:w="1440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SPY Worst...</w:t>
            </w:r>
          </w:p>
        </w:tc>
        <w:tc>
          <w:tcPr>
            <w:tcW w:type="dxa" w:w="864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# Days</w:t>
            </w:r>
          </w:p>
        </w:tc>
        <w:tc>
          <w:tcPr>
            <w:tcW w:type="dxa" w:w="1296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SPY Avg</w:t>
            </w:r>
          </w:p>
        </w:tc>
        <w:tc>
          <w:tcPr>
            <w:tcW w:type="dxa" w:w="1296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BUFR Avg</w:t>
            </w:r>
          </w:p>
        </w:tc>
        <w:tc>
          <w:tcPr>
            <w:tcW w:type="dxa" w:w="1296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Downside</w:t>
              <w:br/>
              <w:t>Capture</w:t>
            </w:r>
          </w:p>
        </w:tc>
        <w:tc>
          <w:tcPr>
            <w:tcW w:type="dxa" w:w="1296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Loss</w:t>
              <w:br/>
              <w:t>Protected</w:t>
            </w:r>
          </w:p>
        </w:tc>
      </w:tr>
      <w:tr>
        <w:trPr>
          <w:trHeight w:val="255"/>
        </w:trPr>
        <w:tc>
          <w:tcPr>
            <w:tcW w:type="dxa" w:w="1440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Worst 1%</w:t>
            </w:r>
          </w:p>
        </w:tc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14</w:t>
            </w:r>
          </w:p>
        </w:tc>
        <w:tc>
          <w:tcPr>
            <w:tcW w:type="dxa" w:w="1296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-3.88%</w:t>
            </w:r>
          </w:p>
        </w:tc>
        <w:tc>
          <w:tcPr>
            <w:tcW w:type="dxa" w:w="1296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-2.34%</w:t>
            </w:r>
          </w:p>
        </w:tc>
        <w:tc>
          <w:tcPr>
            <w:tcW w:type="dxa" w:w="1296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60.3%</w:t>
            </w:r>
          </w:p>
        </w:tc>
        <w:tc>
          <w:tcPr>
            <w:tcW w:type="dxa" w:w="1296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39.7%</w:t>
            </w:r>
          </w:p>
        </w:tc>
      </w:tr>
      <w:tr>
        <w:trPr>
          <w:trHeight w:val="255"/>
        </w:trPr>
        <w:tc>
          <w:tcPr>
            <w:tcW w:type="dxa" w:w="1440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Worst 5%</w:t>
            </w:r>
          </w:p>
        </w:tc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70</w:t>
            </w:r>
          </w:p>
        </w:tc>
        <w:tc>
          <w:tcPr>
            <w:tcW w:type="dxa" w:w="1296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-2.48%</w:t>
            </w:r>
          </w:p>
        </w:tc>
        <w:tc>
          <w:tcPr>
            <w:tcW w:type="dxa" w:w="1296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-1.49%</w:t>
            </w:r>
          </w:p>
        </w:tc>
        <w:tc>
          <w:tcPr>
            <w:tcW w:type="dxa" w:w="1296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60.2%</w:t>
            </w:r>
          </w:p>
        </w:tc>
        <w:tc>
          <w:tcPr>
            <w:tcW w:type="dxa" w:w="1296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39.8%</w:t>
            </w:r>
          </w:p>
        </w:tc>
      </w:tr>
      <w:tr>
        <w:trPr>
          <w:trHeight w:val="255"/>
        </w:trPr>
        <w:tc>
          <w:tcPr>
            <w:tcW w:type="dxa" w:w="1440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Worst 10%</w:t>
            </w:r>
          </w:p>
        </w:tc>
        <w:tc>
          <w:tcPr>
            <w:tcW w:type="dxa" w:w="864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140</w:t>
            </w:r>
          </w:p>
        </w:tc>
        <w:tc>
          <w:tcPr>
            <w:tcW w:type="dxa" w:w="1296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-1.94%</w:t>
            </w:r>
          </w:p>
        </w:tc>
        <w:tc>
          <w:tcPr>
            <w:tcW w:type="dxa" w:w="1296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-1.15%</w:t>
            </w:r>
          </w:p>
        </w:tc>
        <w:tc>
          <w:tcPr>
            <w:tcW w:type="dxa" w:w="1296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59.1%</w:t>
            </w:r>
          </w:p>
        </w:tc>
        <w:tc>
          <w:tcPr>
            <w:tcW w:type="dxa" w:w="1296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40.9%</w:t>
            </w:r>
          </w:p>
        </w:tc>
      </w:tr>
    </w:tbl>
    <w:p>
      <w:pPr>
        <w:spacing w:before="120" w:after="40"/>
      </w:pPr>
      <w:r>
        <w:rPr>
          <w:b/>
          <w:color w:val="1A3C5E"/>
          <w:sz w:val="19"/>
        </w:rPr>
        <w:t>Right-Tail Exposure: How Much Upside Does BUFR Sacrifice?</w:t>
      </w:r>
    </w:p>
    <w:p>
      <w:pPr>
        <w:spacing w:after="40"/>
      </w:pPr>
      <w:r>
        <w:rPr>
          <w:sz w:val="16"/>
        </w:rPr>
        <w:t>On SPY's best days, how much of the gain does BUFR participate in? The cap structure limits upside.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rHeight w:val="255"/>
        </w:trPr>
        <w:tc>
          <w:tcPr>
            <w:tcW w:type="dxa" w:w="1440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SPY Best...</w:t>
            </w:r>
          </w:p>
        </w:tc>
        <w:tc>
          <w:tcPr>
            <w:tcW w:type="dxa" w:w="864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# Days</w:t>
            </w:r>
          </w:p>
        </w:tc>
        <w:tc>
          <w:tcPr>
            <w:tcW w:type="dxa" w:w="1296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SPY Avg</w:t>
            </w:r>
          </w:p>
        </w:tc>
        <w:tc>
          <w:tcPr>
            <w:tcW w:type="dxa" w:w="1296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BUFR Avg</w:t>
            </w:r>
          </w:p>
        </w:tc>
        <w:tc>
          <w:tcPr>
            <w:tcW w:type="dxa" w:w="1296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Upside</w:t>
              <w:br/>
              <w:t>Capture</w:t>
            </w:r>
          </w:p>
        </w:tc>
        <w:tc>
          <w:tcPr>
            <w:tcW w:type="dxa" w:w="1296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Upside</w:t>
              <w:br/>
              <w:t>Sacrificed</w:t>
            </w:r>
          </w:p>
        </w:tc>
      </w:tr>
      <w:tr>
        <w:trPr>
          <w:trHeight w:val="255"/>
        </w:trPr>
        <w:tc>
          <w:tcPr>
            <w:tcW w:type="dxa" w:w="1440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Top 10%</w:t>
            </w:r>
          </w:p>
        </w:tc>
        <w:tc>
          <w:tcPr>
            <w:tcW w:type="dxa" w:w="864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140</w:t>
            </w:r>
          </w:p>
        </w:tc>
        <w:tc>
          <w:tcPr>
            <w:tcW w:type="dxa" w:w="1296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+1.88%</w:t>
            </w:r>
          </w:p>
        </w:tc>
        <w:tc>
          <w:tcPr>
            <w:tcW w:type="dxa" w:w="1296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+1.11%</w:t>
            </w:r>
          </w:p>
        </w:tc>
        <w:tc>
          <w:tcPr>
            <w:tcW w:type="dxa" w:w="1296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58.9%</w:t>
            </w:r>
          </w:p>
        </w:tc>
        <w:tc>
          <w:tcPr>
            <w:tcW w:type="dxa" w:w="1296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41.1%</w:t>
            </w:r>
          </w:p>
        </w:tc>
      </w:tr>
      <w:tr>
        <w:trPr>
          <w:trHeight w:val="255"/>
        </w:trPr>
        <w:tc>
          <w:tcPr>
            <w:tcW w:type="dxa" w:w="1440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Top 5%</w:t>
            </w:r>
          </w:p>
        </w:tc>
        <w:tc>
          <w:tcPr>
            <w:tcW w:type="dxa" w:w="864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70</w:t>
            </w:r>
          </w:p>
        </w:tc>
        <w:tc>
          <w:tcPr>
            <w:tcW w:type="dxa" w:w="1296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+2.32%</w:t>
            </w:r>
          </w:p>
        </w:tc>
        <w:tc>
          <w:tcPr>
            <w:tcW w:type="dxa" w:w="1296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+1.39%</w:t>
            </w:r>
          </w:p>
        </w:tc>
        <w:tc>
          <w:tcPr>
            <w:tcW w:type="dxa" w:w="1296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60.2%</w:t>
            </w:r>
          </w:p>
        </w:tc>
        <w:tc>
          <w:tcPr>
            <w:tcW w:type="dxa" w:w="1296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39.8%</w:t>
            </w:r>
          </w:p>
        </w:tc>
      </w:tr>
      <w:tr>
        <w:trPr>
          <w:trHeight w:val="255"/>
        </w:trPr>
        <w:tc>
          <w:tcPr>
            <w:tcW w:type="dxa" w:w="1440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Top 1%</w:t>
            </w:r>
          </w:p>
        </w:tc>
        <w:tc>
          <w:tcPr>
            <w:tcW w:type="dxa" w:w="864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14</w:t>
            </w:r>
          </w:p>
        </w:tc>
        <w:tc>
          <w:tcPr>
            <w:tcW w:type="dxa" w:w="1296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+3.59%</w:t>
            </w:r>
          </w:p>
        </w:tc>
        <w:tc>
          <w:tcPr>
            <w:tcW w:type="dxa" w:w="1296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+2.21%</w:t>
            </w:r>
          </w:p>
        </w:tc>
        <w:tc>
          <w:tcPr>
            <w:tcW w:type="dxa" w:w="1296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61.7%</w:t>
            </w:r>
          </w:p>
        </w:tc>
        <w:tc>
          <w:tcPr>
            <w:tcW w:type="dxa" w:w="1296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38.3%</w:t>
            </w:r>
          </w:p>
        </w:tc>
      </w:tr>
    </w:tbl>
    <w:p>
      <w:pPr>
        <w:spacing w:before="120" w:after="40"/>
      </w:pPr>
      <w:r>
        <w:rPr>
          <w:b/>
          <w:color w:val="1A3C5E"/>
          <w:sz w:val="19"/>
        </w:rPr>
        <w:t>Monthly Upside/Downside Capture (Morningstar Methodology)</w:t>
      </w:r>
    </w:p>
    <w:p>
      <w:pPr>
        <w:spacing w:after="40"/>
      </w:pPr>
      <w:r>
        <w:rPr>
          <w:sz w:val="16"/>
        </w:rPr>
        <w:t>Computed using geometric monthly returns. Upside capture = BUFR's geometric return in up months / SPY's geometric return in up months. Downside capture = same for down months. Ideal: high upside capture + low downside capture.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rHeight w:val="255"/>
        </w:trPr>
        <w:tc>
          <w:tcPr>
            <w:tcW w:type="dxa" w:w="1584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Period</w:t>
            </w:r>
          </w:p>
        </w:tc>
        <w:tc>
          <w:tcPr>
            <w:tcW w:type="dxa" w:w="1152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Upside</w:t>
              <w:br/>
              <w:t>Capture</w:t>
            </w:r>
          </w:p>
        </w:tc>
        <w:tc>
          <w:tcPr>
            <w:tcW w:type="dxa" w:w="1152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Downside</w:t>
              <w:br/>
              <w:t>Capture</w:t>
            </w:r>
          </w:p>
        </w:tc>
        <w:tc>
          <w:tcPr>
            <w:tcW w:type="dxa" w:w="1296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Spread</w:t>
              <w:br/>
              <w:t>(Up - Down)</w:t>
            </w:r>
          </w:p>
        </w:tc>
        <w:tc>
          <w:tcPr>
            <w:tcW w:type="dxa" w:w="864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Up</w:t>
              <w:br/>
              <w:t>Months</w:t>
            </w:r>
          </w:p>
        </w:tc>
        <w:tc>
          <w:tcPr>
            <w:tcW w:type="dxa" w:w="864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Down</w:t>
              <w:br/>
              <w:t>Months</w:t>
            </w:r>
          </w:p>
        </w:tc>
      </w:tr>
      <w:tr>
        <w:trPr>
          <w:trHeight w:val="255"/>
        </w:trPr>
        <w:tc>
          <w:tcPr>
            <w:tcW w:type="dxa" w:w="158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1-Year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69.3%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62.0%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+7.2 pp</w:t>
            </w:r>
          </w:p>
        </w:tc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3</w:t>
            </w:r>
          </w:p>
        </w:tc>
      </w:tr>
      <w:tr>
        <w:trPr>
          <w:trHeight w:val="255"/>
        </w:trPr>
        <w:tc>
          <w:tcPr>
            <w:tcW w:type="dxa" w:w="158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3-Year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65.2%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54.6%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+10.6 pp</w:t>
            </w:r>
          </w:p>
        </w:tc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27</w:t>
            </w:r>
          </w:p>
        </w:tc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10</w:t>
            </w:r>
          </w:p>
        </w:tc>
      </w:tr>
      <w:tr>
        <w:trPr>
          <w:trHeight w:val="255"/>
        </w:trPr>
        <w:tc>
          <w:tcPr>
            <w:tcW w:type="dxa" w:w="158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Since Inception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61.4%</w:t>
            </w:r>
          </w:p>
        </w:tc>
        <w:tc>
          <w:tcPr>
            <w:tcW w:type="dxa" w:w="115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56.2%</w:t>
            </w:r>
          </w:p>
        </w:tc>
        <w:tc>
          <w:tcPr>
            <w:tcW w:type="dxa" w:w="129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+5.3 pp</w:t>
            </w:r>
          </w:p>
        </w:tc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45</w:t>
            </w:r>
          </w:p>
        </w:tc>
        <w:tc>
          <w:tcPr>
            <w:tcW w:type="dxa" w:w="86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23</w:t>
            </w:r>
          </w:p>
        </w:tc>
      </w:tr>
    </w:tbl>
    <w:p>
      <w:pPr>
        <w:spacing w:before="120" w:after="40"/>
      </w:pPr>
      <w:r>
        <w:rPr>
          <w:b/>
          <w:color w:val="1A3C5E"/>
          <w:sz w:val="19"/>
        </w:rPr>
        <w:t>Tail Asymmetry Verdict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rHeight w:val="255"/>
        </w:trPr>
        <w:tc>
          <w:tcPr>
            <w:tcW w:type="dxa" w:w="1440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Tail</w:t>
            </w:r>
          </w:p>
        </w:tc>
        <w:tc>
          <w:tcPr>
            <w:tcW w:type="dxa" w:w="1440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SPY Threshold</w:t>
            </w:r>
          </w:p>
        </w:tc>
        <w:tc>
          <w:tcPr>
            <w:tcW w:type="dxa" w:w="1008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BUFR</w:t>
              <w:br/>
              <w:t>Capture</w:t>
            </w:r>
          </w:p>
        </w:tc>
        <w:tc>
          <w:tcPr>
            <w:tcW w:type="dxa" w:w="5040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5"/>
              </w:rPr>
              <w:t>Interpretation</w:t>
            </w:r>
          </w:p>
        </w:tc>
      </w:tr>
      <w:tr>
        <w:trPr>
          <w:trHeight w:val="255"/>
        </w:trPr>
        <w:tc>
          <w:tcPr>
            <w:tcW w:type="dxa" w:w="1440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Worst 1% days</w:t>
            </w:r>
          </w:p>
        </w:tc>
        <w:tc>
          <w:tcPr>
            <w:tcW w:type="dxa" w:w="1440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-3.88% avg</w:t>
            </w:r>
          </w:p>
        </w:tc>
        <w:tc>
          <w:tcPr>
            <w:tcW w:type="dxa" w:w="100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60.3%</w:t>
            </w:r>
          </w:p>
        </w:tc>
        <w:tc>
          <w:tcPr>
            <w:tcW w:type="dxa" w:w="5040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BUFR absorbs 40% of extreme left-tail losses</w:t>
            </w:r>
          </w:p>
        </w:tc>
      </w:tr>
      <w:tr>
        <w:trPr>
          <w:trHeight w:val="255"/>
        </w:trPr>
        <w:tc>
          <w:tcPr>
            <w:tcW w:type="dxa" w:w="1440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Worst 5% days</w:t>
            </w:r>
          </w:p>
        </w:tc>
        <w:tc>
          <w:tcPr>
            <w:tcW w:type="dxa" w:w="1440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-2.48% avg</w:t>
            </w:r>
          </w:p>
        </w:tc>
        <w:tc>
          <w:tcPr>
            <w:tcW w:type="dxa" w:w="1008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60.2%</w:t>
            </w:r>
          </w:p>
        </w:tc>
        <w:tc>
          <w:tcPr>
            <w:tcW w:type="dxa" w:w="5040"/>
            <w:shd w:fill="E8F4E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BUFR absorbs 40% of moderate left-tail losses</w:t>
            </w:r>
          </w:p>
        </w:tc>
      </w:tr>
      <w:tr>
        <w:trPr>
          <w:trHeight w:val="255"/>
        </w:trPr>
        <w:tc>
          <w:tcPr>
            <w:tcW w:type="dxa" w:w="1440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Best 5% days</w:t>
            </w:r>
          </w:p>
        </w:tc>
        <w:tc>
          <w:tcPr>
            <w:tcW w:type="dxa" w:w="1440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+2.32% avg</w:t>
            </w:r>
          </w:p>
        </w:tc>
        <w:tc>
          <w:tcPr>
            <w:tcW w:type="dxa" w:w="1008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60.2%</w:t>
            </w:r>
          </w:p>
        </w:tc>
        <w:tc>
          <w:tcPr>
            <w:tcW w:type="dxa" w:w="5040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BUFR sacrifices 40% of moderate right-tail gains</w:t>
            </w:r>
          </w:p>
        </w:tc>
      </w:tr>
      <w:tr>
        <w:trPr>
          <w:trHeight w:val="255"/>
        </w:trPr>
        <w:tc>
          <w:tcPr>
            <w:tcW w:type="dxa" w:w="1440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5"/>
              </w:rPr>
              <w:t>Best 1% days</w:t>
            </w:r>
          </w:p>
        </w:tc>
        <w:tc>
          <w:tcPr>
            <w:tcW w:type="dxa" w:w="1440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+3.59% avg</w:t>
            </w:r>
          </w:p>
        </w:tc>
        <w:tc>
          <w:tcPr>
            <w:tcW w:type="dxa" w:w="1008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61.7%</w:t>
            </w:r>
          </w:p>
        </w:tc>
        <w:tc>
          <w:tcPr>
            <w:tcW w:type="dxa" w:w="5040"/>
            <w:shd w:fill="FDEDE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5"/>
              </w:rPr>
              <w:t>BUFR sacrifices 38% of extreme right-tail gains</w:t>
            </w:r>
          </w:p>
        </w:tc>
      </w:tr>
    </w:tbl>
    <w:p>
      <w:pPr>
        <w:spacing w:before="0" w:after="40"/>
        <w:pBdr>
          <w:bottom w:val="single" w:sz="6" w:space="1" w:color="1A3C5E"/>
        </w:pBdr>
      </w:pPr>
    </w:p>
    <w:p>
      <w:r>
        <w:rPr>
          <w:b/>
          <w:color w:val="1A3C5E"/>
          <w:sz w:val="18"/>
        </w:rPr>
        <w:t xml:space="preserve">Bottom Line: </w:t>
      </w:r>
      <w:r>
        <w:rPr>
          <w:color w:val="333333"/>
          <w:sz w:val="18"/>
        </w:rPr>
        <w:t>BUFR's upside capture (61%) exceeds its downside capture (56%), a +5 pp spread that benefits investors over full market cycles. However, in the tails the picture sharpens: on SPY's worst 1% of days, BUFR captures only 60% of the loss, but on SPY's best 1% of days it captures just 62% of the gain. The buffer structure provides meaningful crash protection but at the cost of truncated upside in strong rallies -- a structural trade-off embedded in the options overlay.</w:t>
      </w:r>
    </w:p>
    <w:p>
      <w:pPr>
        <w:spacing w:before="20" w:after="80"/>
      </w:pPr>
      <w:r>
        <w:rPr>
          <w:color w:val="666666"/>
          <w:sz w:val="14"/>
        </w:rPr>
        <w:t>Analysis period: 2020-08-12 to 2026-03-02 (1,394 trading days). Monthly capture ratios use Morningstar geometric methodology. Source: Yahoo Finance adjusted close prices. Past performance does not guarantee future results.</w:t>
      </w:r>
    </w:p>
    <w:sectPr w:rsidR="00FC693F" w:rsidRPr="0006063C" w:rsidSect="00034616">
      <w:pgSz w:w="12240" w:h="15840"/>
      <w:pgMar w:top="737" w:right="1020" w:bottom="56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