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00000"/>
          <w:sz w:val="28"/>
        </w:rPr>
        <w:t>POTOMAC FUND MANAGEMENT</w:t>
      </w:r>
      <w:r>
        <w:rPr>
          <w:color w:val="444444"/>
          <w:sz w:val="20"/>
        </w:rPr>
        <w:tab/>
        <w:tab/>
        <w:tab/>
        <w:tab/>
        <w:tab/>
        <w:tab/>
        <w:t xml:space="preserve">         March 2026</w:t>
      </w:r>
    </w:p>
    <w:p>
      <w:r>
        <w:rPr>
          <w:b/>
          <w:color w:val="000000"/>
          <w:sz w:val="24"/>
        </w:rPr>
        <w:t>International Dual Momentum: Single-Country ETF Rotation</w:t>
      </w:r>
    </w:p>
    <w:p>
      <w:r>
        <w:rPr>
          <w:i/>
          <w:color w:val="444444"/>
          <w:sz w:val="18"/>
        </w:rPr>
        <w:t>Research Concept — Preliminary Results, Requires Further Analysis</w:t>
      </w:r>
    </w:p>
    <w:p>
      <w:pPr>
        <w:spacing w:before="0" w:after="80"/>
      </w:pPr>
      <w:r>
        <w:rPr>
          <w:color w:val="800000"/>
          <w:sz w:val="12"/>
        </w:rPr>
        <w:t>_______________________________________________________________________________________________</w:t>
      </w:r>
    </w:p>
    <w:p>
      <w:r>
        <w:rPr>
          <w:b/>
          <w:color w:val="800000"/>
          <w:sz w:val="20"/>
        </w:rPr>
        <w:t>THE CONCEPT</w:t>
      </w:r>
    </w:p>
    <w:p>
      <w:r>
        <w:t>Apply Gary Antonacci’s dual momentum framework to a universe of 16 liquid, single-country international ETFs (all iShares MSCI). Each month, rank countries by trailing 12-month total return (relative momentum), select the top 7, equal-weight at ~14.3% each, and apply an absolute momentum filter: any country whose return fails the cash hurdle flips to SGOV. The strategy is 100% international — no US equity exposure.</w:t>
      </w:r>
    </w:p>
    <w:p>
      <w:r>
        <w:rPr>
          <w:b/>
          <w:color w:val="800000"/>
          <w:sz w:val="20"/>
        </w:rPr>
        <w:t>UNIVERSE (16 ETFs)</w:t>
      </w:r>
    </w:p>
    <w:p>
      <w:r>
        <w:rPr>
          <w:b/>
          <w:sz w:val="17"/>
        </w:rPr>
        <w:t xml:space="preserve">Developed (9): </w:t>
      </w:r>
      <w:r>
        <w:rPr>
          <w:sz w:val="17"/>
        </w:rPr>
        <w:t>EWJ Japan • EWG Germany • EWU UK • EWC Canada • EWA Australia • EWQ France • EWL Switzerland • EWP Spain • EWI Italy</w:t>
      </w:r>
    </w:p>
    <w:p>
      <w:r>
        <w:rPr>
          <w:b/>
          <w:sz w:val="17"/>
        </w:rPr>
        <w:t xml:space="preserve">Emerging (7):  </w:t>
      </w:r>
      <w:r>
        <w:rPr>
          <w:sz w:val="17"/>
        </w:rPr>
        <w:t>EWT Taiwan • EWZ Brazil • INDA India • FXI China • EWY S. Korea • EWW Mexico • EWH Hong Kong</w:t>
      </w:r>
    </w:p>
    <w:p>
      <w:r>
        <w:rPr>
          <w:b/>
          <w:color w:val="800000"/>
          <w:sz w:val="20"/>
        </w:rPr>
        <w:t>PRELIMINARY BACKTEST (Jan 2004 – Feb 2026)</w:t>
      </w:r>
    </w:p>
    <w:p>
      <w:r>
        <w:rPr>
          <w:sz w:val="18"/>
        </w:rPr>
        <w:t>Five absolute momentum (go-to-cash) triggers were tested. Top-line results: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3168"/>
            <w:shd w:val="clear" w:color="auto" w:fill="800000"/>
          </w:tcPr>
          <w:p>
            <w:pPr>
              <w:jc w:val="center"/>
            </w:pPr>
            <w:r/>
            <w:r>
              <w:rPr>
                <w:b/>
                <w:color w:val="FFFFFF"/>
                <w:sz w:val="16"/>
              </w:rPr>
              <w:t>Trigger</w:t>
            </w:r>
          </w:p>
        </w:tc>
        <w:tc>
          <w:tcPr>
            <w:tcW w:type="dxa" w:w="864"/>
            <w:shd w:val="clear" w:color="auto" w:fill="800000"/>
          </w:tcPr>
          <w:p>
            <w:pPr>
              <w:jc w:val="center"/>
            </w:pPr>
            <w:r/>
            <w:r>
              <w:rPr>
                <w:b/>
                <w:color w:val="FFFFFF"/>
                <w:sz w:val="16"/>
              </w:rPr>
              <w:t>CAGR</w:t>
            </w:r>
          </w:p>
        </w:tc>
        <w:tc>
          <w:tcPr>
            <w:tcW w:type="dxa" w:w="1008"/>
            <w:shd w:val="clear" w:color="auto" w:fill="800000"/>
          </w:tcPr>
          <w:p>
            <w:pPr>
              <w:jc w:val="center"/>
            </w:pPr>
            <w:r/>
            <w:r>
              <w:rPr>
                <w:b/>
                <w:color w:val="FFFFFF"/>
                <w:sz w:val="16"/>
              </w:rPr>
              <w:t>Max DD</w:t>
            </w:r>
          </w:p>
        </w:tc>
        <w:tc>
          <w:tcPr>
            <w:tcW w:type="dxa" w:w="936"/>
            <w:shd w:val="clear" w:color="auto" w:fill="800000"/>
          </w:tcPr>
          <w:p>
            <w:pPr>
              <w:jc w:val="center"/>
            </w:pPr>
            <w:r/>
            <w:r>
              <w:rPr>
                <w:b/>
                <w:color w:val="FFFFFF"/>
                <w:sz w:val="16"/>
              </w:rPr>
              <w:t>Sharpe</w:t>
            </w:r>
          </w:p>
        </w:tc>
        <w:tc>
          <w:tcPr>
            <w:tcW w:type="dxa" w:w="936"/>
            <w:shd w:val="clear" w:color="auto" w:fill="800000"/>
          </w:tcPr>
          <w:p>
            <w:pPr>
              <w:jc w:val="center"/>
            </w:pPr>
            <w:r/>
            <w:r>
              <w:rPr>
                <w:b/>
                <w:color w:val="FFFFFF"/>
                <w:sz w:val="16"/>
              </w:rPr>
              <w:t>Sortino</w:t>
            </w:r>
          </w:p>
        </w:tc>
        <w:tc>
          <w:tcPr>
            <w:tcW w:type="dxa" w:w="1440"/>
            <w:shd w:val="clear" w:color="auto" w:fill="800000"/>
          </w:tcPr>
          <w:p>
            <w:pPr>
              <w:jc w:val="center"/>
            </w:pPr>
            <w:r/>
            <w:r>
              <w:rPr>
                <w:b/>
                <w:color w:val="FFFFFF"/>
                <w:sz w:val="16"/>
              </w:rPr>
              <w:t>Avg Countries</w:t>
            </w:r>
          </w:p>
        </w:tc>
        <w:tc>
          <w:tcPr>
            <w:tcW w:type="dxa" w:w="1152"/>
            <w:shd w:val="clear" w:color="auto" w:fill="800000"/>
          </w:tcPr>
          <w:p>
            <w:pPr>
              <w:jc w:val="center"/>
            </w:pPr>
            <w:r/>
            <w:r>
              <w:rPr>
                <w:b/>
                <w:color w:val="FFFFFF"/>
                <w:sz w:val="16"/>
              </w:rPr>
              <w:t>% Invested</w:t>
            </w:r>
          </w:p>
        </w:tc>
      </w:tr>
      <w:tr>
        <w:tc>
          <w:tcPr>
            <w:tcW w:type="dxa" w:w="3168"/>
          </w:tcPr>
          <w:p>
            <w:pPr>
              <w:jc w:val="center"/>
            </w:pPr>
            <w:r/>
            <w:r>
              <w:rPr>
                <w:color w:val="000000"/>
                <w:sz w:val="16"/>
              </w:rPr>
              <w:t>A: Classic (12m &gt; BIL)</w:t>
            </w:r>
          </w:p>
        </w:tc>
        <w:tc>
          <w:tcPr>
            <w:tcW w:type="dxa" w:w="864"/>
          </w:tcPr>
          <w:p>
            <w:pPr>
              <w:jc w:val="center"/>
            </w:pPr>
            <w:r/>
            <w:r>
              <w:rPr>
                <w:color w:val="000000"/>
                <w:sz w:val="16"/>
              </w:rPr>
              <w:t>2.5%</w:t>
            </w:r>
          </w:p>
        </w:tc>
        <w:tc>
          <w:tcPr>
            <w:tcW w:type="dxa" w:w="1008"/>
          </w:tcPr>
          <w:p>
            <w:pPr>
              <w:jc w:val="center"/>
            </w:pPr>
            <w:r/>
            <w:r>
              <w:rPr>
                <w:color w:val="000000"/>
                <w:sz w:val="16"/>
              </w:rPr>
              <w:t>-33.8%</w:t>
            </w:r>
          </w:p>
        </w:tc>
        <w:tc>
          <w:tcPr>
            <w:tcW w:type="dxa" w:w="936"/>
          </w:tcPr>
          <w:p>
            <w:pPr>
              <w:jc w:val="center"/>
            </w:pPr>
            <w:r/>
            <w:r>
              <w:rPr>
                <w:color w:val="000000"/>
                <w:sz w:val="16"/>
              </w:rPr>
              <w:t>0.02</w:t>
            </w:r>
          </w:p>
        </w:tc>
        <w:tc>
          <w:tcPr>
            <w:tcW w:type="dxa" w:w="936"/>
          </w:tcPr>
          <w:p>
            <w:pPr>
              <w:jc w:val="center"/>
            </w:pPr>
            <w:r/>
            <w:r>
              <w:rPr>
                <w:color w:val="000000"/>
                <w:sz w:val="16"/>
              </w:rPr>
              <w:t>0.02</w:t>
            </w:r>
          </w:p>
        </w:tc>
        <w:tc>
          <w:tcPr>
            <w:tcW w:type="dxa" w:w="1440"/>
          </w:tcPr>
          <w:p>
            <w:pPr>
              <w:jc w:val="center"/>
            </w:pPr>
            <w:r/>
            <w:r>
              <w:rPr>
                <w:color w:val="000000"/>
                <w:sz w:val="16"/>
              </w:rPr>
              <w:t>4.2</w:t>
            </w:r>
          </w:p>
        </w:tc>
        <w:tc>
          <w:tcPr>
            <w:tcW w:type="dxa" w:w="1152"/>
          </w:tcPr>
          <w:p>
            <w:pPr>
              <w:jc w:val="center"/>
            </w:pPr>
            <w:r/>
            <w:r>
              <w:rPr>
                <w:color w:val="000000"/>
                <w:sz w:val="16"/>
              </w:rPr>
              <w:t>61%</w:t>
            </w:r>
          </w:p>
        </w:tc>
      </w:tr>
      <w:tr>
        <w:tc>
          <w:tcPr>
            <w:tcW w:type="dxa" w:w="3168"/>
            <w:shd w:val="clear" w:color="auto" w:fill="F2F2F2"/>
          </w:tcPr>
          <w:p>
            <w:pPr>
              <w:jc w:val="center"/>
            </w:pPr>
            <w:r/>
            <w:r>
              <w:rPr>
                <w:color w:val="000000"/>
                <w:sz w:val="16"/>
              </w:rPr>
              <w:t>B: Dual (12m&gt;0 &amp; 6m&gt;0)</w:t>
            </w:r>
          </w:p>
        </w:tc>
        <w:tc>
          <w:tcPr>
            <w:tcW w:type="dxa" w:w="864"/>
            <w:shd w:val="clear" w:color="auto" w:fill="F2F2F2"/>
          </w:tcPr>
          <w:p>
            <w:pPr>
              <w:jc w:val="center"/>
            </w:pPr>
            <w:r/>
            <w:r>
              <w:rPr>
                <w:color w:val="000000"/>
                <w:sz w:val="16"/>
              </w:rPr>
              <w:t>6.9%</w:t>
            </w:r>
          </w:p>
        </w:tc>
        <w:tc>
          <w:tcPr>
            <w:tcW w:type="dxa" w:w="1008"/>
            <w:shd w:val="clear" w:color="auto" w:fill="F2F2F2"/>
          </w:tcPr>
          <w:p>
            <w:pPr>
              <w:jc w:val="center"/>
            </w:pPr>
            <w:r/>
            <w:r>
              <w:rPr>
                <w:color w:val="000000"/>
                <w:sz w:val="16"/>
              </w:rPr>
              <w:t>-30.1%</w:t>
            </w:r>
          </w:p>
        </w:tc>
        <w:tc>
          <w:tcPr>
            <w:tcW w:type="dxa" w:w="936"/>
            <w:shd w:val="clear" w:color="auto" w:fill="F2F2F2"/>
          </w:tcPr>
          <w:p>
            <w:pPr>
              <w:jc w:val="center"/>
            </w:pPr>
            <w:r/>
            <w:r>
              <w:rPr>
                <w:color w:val="000000"/>
                <w:sz w:val="16"/>
              </w:rPr>
              <w:t>0.36</w:t>
            </w:r>
          </w:p>
        </w:tc>
        <w:tc>
          <w:tcPr>
            <w:tcW w:type="dxa" w:w="936"/>
            <w:shd w:val="clear" w:color="auto" w:fill="F2F2F2"/>
          </w:tcPr>
          <w:p>
            <w:pPr>
              <w:jc w:val="center"/>
            </w:pPr>
            <w:r/>
            <w:r>
              <w:rPr>
                <w:color w:val="000000"/>
                <w:sz w:val="16"/>
              </w:rPr>
              <w:t>0.51</w:t>
            </w:r>
          </w:p>
        </w:tc>
        <w:tc>
          <w:tcPr>
            <w:tcW w:type="dxa" w:w="1440"/>
            <w:shd w:val="clear" w:color="auto" w:fill="F2F2F2"/>
          </w:tcPr>
          <w:p>
            <w:pPr>
              <w:jc w:val="center"/>
            </w:pPr>
            <w:r/>
            <w:r>
              <w:rPr>
                <w:color w:val="000000"/>
                <w:sz w:val="16"/>
              </w:rPr>
              <w:t>4.9</w:t>
            </w:r>
          </w:p>
        </w:tc>
        <w:tc>
          <w:tcPr>
            <w:tcW w:type="dxa" w:w="1152"/>
            <w:shd w:val="clear" w:color="auto" w:fill="F2F2F2"/>
          </w:tcPr>
          <w:p>
            <w:pPr>
              <w:jc w:val="center"/>
            </w:pPr>
            <w:r/>
            <w:r>
              <w:rPr>
                <w:color w:val="000000"/>
                <w:sz w:val="16"/>
              </w:rPr>
              <w:t>70%</w:t>
            </w:r>
          </w:p>
        </w:tc>
      </w:tr>
      <w:tr>
        <w:tc>
          <w:tcPr>
            <w:tcW w:type="dxa" w:w="3168"/>
          </w:tcPr>
          <w:p>
            <w:pPr>
              <w:jc w:val="center"/>
            </w:pPr>
            <w:r/>
            <w:r>
              <w:rPr>
                <w:color w:val="000000"/>
                <w:sz w:val="16"/>
              </w:rPr>
              <w:t>C: Composite (avg 1/3/6/12m)</w:t>
            </w:r>
          </w:p>
        </w:tc>
        <w:tc>
          <w:tcPr>
            <w:tcW w:type="dxa" w:w="864"/>
          </w:tcPr>
          <w:p>
            <w:pPr>
              <w:jc w:val="center"/>
            </w:pPr>
            <w:r/>
            <w:r>
              <w:rPr>
                <w:color w:val="000000"/>
                <w:sz w:val="16"/>
              </w:rPr>
              <w:t>9.2%</w:t>
            </w:r>
          </w:p>
        </w:tc>
        <w:tc>
          <w:tcPr>
            <w:tcW w:type="dxa" w:w="1008"/>
          </w:tcPr>
          <w:p>
            <w:pPr>
              <w:jc w:val="center"/>
            </w:pPr>
            <w:r/>
            <w:r>
              <w:rPr>
                <w:color w:val="000000"/>
                <w:sz w:val="16"/>
              </w:rPr>
              <w:t>-27.3%</w:t>
            </w:r>
          </w:p>
        </w:tc>
        <w:tc>
          <w:tcPr>
            <w:tcW w:type="dxa" w:w="936"/>
          </w:tcPr>
          <w:p>
            <w:pPr>
              <w:jc w:val="center"/>
            </w:pPr>
            <w:r/>
            <w:r>
              <w:rPr>
                <w:color w:val="000000"/>
                <w:sz w:val="16"/>
              </w:rPr>
              <w:t>0.49</w:t>
            </w:r>
          </w:p>
        </w:tc>
        <w:tc>
          <w:tcPr>
            <w:tcW w:type="dxa" w:w="936"/>
          </w:tcPr>
          <w:p>
            <w:pPr>
              <w:jc w:val="center"/>
            </w:pPr>
            <w:r/>
            <w:r>
              <w:rPr>
                <w:color w:val="000000"/>
                <w:sz w:val="16"/>
              </w:rPr>
              <w:t>0.75</w:t>
            </w:r>
          </w:p>
        </w:tc>
        <w:tc>
          <w:tcPr>
            <w:tcW w:type="dxa" w:w="1440"/>
          </w:tcPr>
          <w:p>
            <w:pPr>
              <w:jc w:val="center"/>
            </w:pPr>
            <w:r/>
            <w:r>
              <w:rPr>
                <w:color w:val="000000"/>
                <w:sz w:val="16"/>
              </w:rPr>
              <w:t>5.8</w:t>
            </w:r>
          </w:p>
        </w:tc>
        <w:tc>
          <w:tcPr>
            <w:tcW w:type="dxa" w:w="1152"/>
          </w:tcPr>
          <w:p>
            <w:pPr>
              <w:jc w:val="center"/>
            </w:pPr>
            <w:r/>
            <w:r>
              <w:rPr>
                <w:color w:val="000000"/>
                <w:sz w:val="16"/>
              </w:rPr>
              <w:t>82%</w:t>
            </w:r>
          </w:p>
        </w:tc>
      </w:tr>
      <w:tr>
        <w:tc>
          <w:tcPr>
            <w:tcW w:type="dxa" w:w="3168"/>
            <w:shd w:val="clear" w:color="auto" w:fill="F2F2F2"/>
          </w:tcPr>
          <w:p>
            <w:pPr>
              <w:jc w:val="center"/>
            </w:pPr>
            <w:r/>
            <w:r>
              <w:rPr>
                <w:color w:val="000000"/>
                <w:sz w:val="16"/>
              </w:rPr>
              <w:t>D: Aggregate (EFA &gt; BIL)</w:t>
            </w:r>
          </w:p>
        </w:tc>
        <w:tc>
          <w:tcPr>
            <w:tcW w:type="dxa" w:w="864"/>
            <w:shd w:val="clear" w:color="auto" w:fill="F2F2F2"/>
          </w:tcPr>
          <w:p>
            <w:pPr>
              <w:jc w:val="center"/>
            </w:pPr>
            <w:r/>
            <w:r>
              <w:rPr>
                <w:color w:val="000000"/>
                <w:sz w:val="16"/>
              </w:rPr>
              <w:t>3.0%</w:t>
            </w:r>
          </w:p>
        </w:tc>
        <w:tc>
          <w:tcPr>
            <w:tcW w:type="dxa" w:w="1008"/>
            <w:shd w:val="clear" w:color="auto" w:fill="F2F2F2"/>
          </w:tcPr>
          <w:p>
            <w:pPr>
              <w:jc w:val="center"/>
            </w:pPr>
            <w:r/>
            <w:r>
              <w:rPr>
                <w:color w:val="000000"/>
                <w:sz w:val="16"/>
              </w:rPr>
              <w:t>-28.9%</w:t>
            </w:r>
          </w:p>
        </w:tc>
        <w:tc>
          <w:tcPr>
            <w:tcW w:type="dxa" w:w="936"/>
            <w:shd w:val="clear" w:color="auto" w:fill="F2F2F2"/>
          </w:tcPr>
          <w:p>
            <w:pPr>
              <w:jc w:val="center"/>
            </w:pPr>
            <w:r/>
            <w:r>
              <w:rPr>
                <w:color w:val="000000"/>
                <w:sz w:val="16"/>
              </w:rPr>
              <w:t>0.05</w:t>
            </w:r>
          </w:p>
        </w:tc>
        <w:tc>
          <w:tcPr>
            <w:tcW w:type="dxa" w:w="936"/>
            <w:shd w:val="clear" w:color="auto" w:fill="F2F2F2"/>
          </w:tcPr>
          <w:p>
            <w:pPr>
              <w:jc w:val="center"/>
            </w:pPr>
            <w:r/>
            <w:r>
              <w:rPr>
                <w:color w:val="000000"/>
                <w:sz w:val="16"/>
              </w:rPr>
              <w:t>0.05</w:t>
            </w:r>
          </w:p>
        </w:tc>
        <w:tc>
          <w:tcPr>
            <w:tcW w:type="dxa" w:w="1440"/>
            <w:shd w:val="clear" w:color="auto" w:fill="F2F2F2"/>
          </w:tcPr>
          <w:p>
            <w:pPr>
              <w:jc w:val="center"/>
            </w:pPr>
            <w:r/>
            <w:r>
              <w:rPr>
                <w:color w:val="000000"/>
                <w:sz w:val="16"/>
              </w:rPr>
              <w:t>3.5</w:t>
            </w:r>
          </w:p>
        </w:tc>
        <w:tc>
          <w:tcPr>
            <w:tcW w:type="dxa" w:w="1152"/>
            <w:shd w:val="clear" w:color="auto" w:fill="F2F2F2"/>
          </w:tcPr>
          <w:p>
            <w:pPr>
              <w:jc w:val="center"/>
            </w:pPr>
            <w:r/>
            <w:r>
              <w:rPr>
                <w:color w:val="000000"/>
                <w:sz w:val="16"/>
              </w:rPr>
              <w:t>49%</w:t>
            </w:r>
          </w:p>
        </w:tc>
      </w:tr>
      <w:tr>
        <w:tc>
          <w:tcPr>
            <w:tcW w:type="dxa" w:w="3168"/>
          </w:tcPr>
          <w:p>
            <w:pPr>
              <w:jc w:val="center"/>
            </w:pPr>
            <w:r/>
            <w:r>
              <w:rPr>
                <w:color w:val="000000"/>
                <w:sz w:val="16"/>
              </w:rPr>
              <w:t>E: Breadth (&gt;50% &gt; BIL)</w:t>
            </w:r>
          </w:p>
        </w:tc>
        <w:tc>
          <w:tcPr>
            <w:tcW w:type="dxa" w:w="864"/>
          </w:tcPr>
          <w:p>
            <w:pPr>
              <w:jc w:val="center"/>
            </w:pPr>
            <w:r/>
            <w:r>
              <w:rPr>
                <w:color w:val="000000"/>
                <w:sz w:val="16"/>
              </w:rPr>
              <w:t>3.6%</w:t>
            </w:r>
          </w:p>
        </w:tc>
        <w:tc>
          <w:tcPr>
            <w:tcW w:type="dxa" w:w="1008"/>
          </w:tcPr>
          <w:p>
            <w:pPr>
              <w:jc w:val="center"/>
            </w:pPr>
            <w:r/>
            <w:r>
              <w:rPr>
                <w:color w:val="000000"/>
                <w:sz w:val="16"/>
              </w:rPr>
              <w:t>-28.9%</w:t>
            </w:r>
          </w:p>
        </w:tc>
        <w:tc>
          <w:tcPr>
            <w:tcW w:type="dxa" w:w="936"/>
          </w:tcPr>
          <w:p>
            <w:pPr>
              <w:jc w:val="center"/>
            </w:pPr>
            <w:r/>
            <w:r>
              <w:rPr>
                <w:color w:val="000000"/>
                <w:sz w:val="16"/>
              </w:rPr>
              <w:t>0.10</w:t>
            </w:r>
          </w:p>
        </w:tc>
        <w:tc>
          <w:tcPr>
            <w:tcW w:type="dxa" w:w="936"/>
          </w:tcPr>
          <w:p>
            <w:pPr>
              <w:jc w:val="center"/>
            </w:pPr>
            <w:r/>
            <w:r>
              <w:rPr>
                <w:color w:val="000000"/>
                <w:sz w:val="16"/>
              </w:rPr>
              <w:t>0.10</w:t>
            </w:r>
          </w:p>
        </w:tc>
        <w:tc>
          <w:tcPr>
            <w:tcW w:type="dxa" w:w="1440"/>
          </w:tcPr>
          <w:p>
            <w:pPr>
              <w:jc w:val="center"/>
            </w:pPr>
            <w:r/>
            <w:r>
              <w:rPr>
                <w:color w:val="000000"/>
                <w:sz w:val="16"/>
              </w:rPr>
              <w:t>3.4</w:t>
            </w:r>
          </w:p>
        </w:tc>
        <w:tc>
          <w:tcPr>
            <w:tcW w:type="dxa" w:w="1152"/>
          </w:tcPr>
          <w:p>
            <w:pPr>
              <w:jc w:val="center"/>
            </w:pPr>
            <w:r/>
            <w:r>
              <w:rPr>
                <w:color w:val="000000"/>
                <w:sz w:val="16"/>
              </w:rPr>
              <w:t>48%</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168"/>
            <w:shd w:val="clear" w:color="auto" w:fill="800000"/>
          </w:tcPr>
          <w:p>
            <w:pPr>
              <w:jc w:val="center"/>
            </w:pPr>
            <w:r/>
            <w:r>
              <w:rPr>
                <w:b/>
                <w:color w:val="FFFFFF"/>
                <w:sz w:val="16"/>
              </w:rPr>
              <w:t>Benchmark</w:t>
            </w:r>
          </w:p>
        </w:tc>
        <w:tc>
          <w:tcPr>
            <w:tcW w:type="dxa" w:w="864"/>
            <w:shd w:val="clear" w:color="auto" w:fill="800000"/>
          </w:tcPr>
          <w:p>
            <w:pPr>
              <w:jc w:val="center"/>
            </w:pPr>
            <w:r/>
            <w:r>
              <w:rPr>
                <w:b/>
                <w:color w:val="FFFFFF"/>
                <w:sz w:val="16"/>
              </w:rPr>
              <w:t>CAGR</w:t>
            </w:r>
          </w:p>
        </w:tc>
        <w:tc>
          <w:tcPr>
            <w:tcW w:type="dxa" w:w="1008"/>
            <w:shd w:val="clear" w:color="auto" w:fill="800000"/>
          </w:tcPr>
          <w:p>
            <w:pPr>
              <w:jc w:val="center"/>
            </w:pPr>
            <w:r/>
            <w:r>
              <w:rPr>
                <w:b/>
                <w:color w:val="FFFFFF"/>
                <w:sz w:val="16"/>
              </w:rPr>
              <w:t>Max DD</w:t>
            </w:r>
          </w:p>
        </w:tc>
        <w:tc>
          <w:tcPr>
            <w:tcW w:type="dxa" w:w="936"/>
            <w:shd w:val="clear" w:color="auto" w:fill="800000"/>
          </w:tcPr>
          <w:p>
            <w:pPr>
              <w:jc w:val="center"/>
            </w:pPr>
            <w:r/>
            <w:r>
              <w:rPr>
                <w:b/>
                <w:color w:val="FFFFFF"/>
                <w:sz w:val="16"/>
              </w:rPr>
              <w:t>Sharpe</w:t>
            </w:r>
          </w:p>
        </w:tc>
        <w:tc>
          <w:tcPr>
            <w:tcW w:type="dxa" w:w="1152"/>
            <w:shd w:val="clear" w:color="auto" w:fill="800000"/>
          </w:tcPr>
          <w:p>
            <w:pPr>
              <w:jc w:val="center"/>
            </w:pPr>
            <w:r/>
            <w:r>
              <w:rPr>
                <w:b/>
                <w:color w:val="FFFFFF"/>
                <w:sz w:val="16"/>
              </w:rPr>
              <w:t>Volatility</w:t>
            </w:r>
          </w:p>
        </w:tc>
      </w:tr>
      <w:tr>
        <w:tc>
          <w:tcPr>
            <w:tcW w:type="dxa" w:w="3168"/>
          </w:tcPr>
          <w:p>
            <w:pPr>
              <w:jc w:val="center"/>
            </w:pPr>
            <w:r/>
            <w:r>
              <w:rPr>
                <w:color w:val="000000"/>
                <w:sz w:val="16"/>
              </w:rPr>
              <w:t>EFA (EAFE buy-hold)</w:t>
            </w:r>
          </w:p>
        </w:tc>
        <w:tc>
          <w:tcPr>
            <w:tcW w:type="dxa" w:w="864"/>
          </w:tcPr>
          <w:p>
            <w:pPr>
              <w:jc w:val="center"/>
            </w:pPr>
            <w:r/>
            <w:r>
              <w:rPr>
                <w:color w:val="000000"/>
                <w:sz w:val="16"/>
              </w:rPr>
              <w:t>6.8%</w:t>
            </w:r>
          </w:p>
        </w:tc>
        <w:tc>
          <w:tcPr>
            <w:tcW w:type="dxa" w:w="1008"/>
          </w:tcPr>
          <w:p>
            <w:pPr>
              <w:jc w:val="center"/>
            </w:pPr>
            <w:r/>
            <w:r>
              <w:rPr>
                <w:color w:val="000000"/>
                <w:sz w:val="16"/>
              </w:rPr>
              <w:t>-57.4%</w:t>
            </w:r>
          </w:p>
        </w:tc>
        <w:tc>
          <w:tcPr>
            <w:tcW w:type="dxa" w:w="936"/>
          </w:tcPr>
          <w:p>
            <w:pPr>
              <w:jc w:val="center"/>
            </w:pPr>
            <w:r/>
            <w:r>
              <w:rPr>
                <w:color w:val="000000"/>
                <w:sz w:val="16"/>
              </w:rPr>
              <w:t>0.30</w:t>
            </w:r>
          </w:p>
        </w:tc>
        <w:tc>
          <w:tcPr>
            <w:tcW w:type="dxa" w:w="1152"/>
          </w:tcPr>
          <w:p>
            <w:pPr>
              <w:jc w:val="center"/>
            </w:pPr>
            <w:r/>
            <w:r>
              <w:rPr>
                <w:color w:val="000000"/>
                <w:sz w:val="16"/>
              </w:rPr>
              <w:t>16.6%</w:t>
            </w:r>
          </w:p>
        </w:tc>
      </w:tr>
      <w:tr>
        <w:tc>
          <w:tcPr>
            <w:tcW w:type="dxa" w:w="3168"/>
            <w:shd w:val="clear" w:color="auto" w:fill="F2F2F2"/>
          </w:tcPr>
          <w:p>
            <w:pPr>
              <w:jc w:val="center"/>
            </w:pPr>
            <w:r/>
            <w:r>
              <w:rPr>
                <w:color w:val="000000"/>
                <w:sz w:val="16"/>
              </w:rPr>
              <w:t>ACWX (All-World ex-US)</w:t>
            </w:r>
          </w:p>
        </w:tc>
        <w:tc>
          <w:tcPr>
            <w:tcW w:type="dxa" w:w="864"/>
            <w:shd w:val="clear" w:color="auto" w:fill="F2F2F2"/>
          </w:tcPr>
          <w:p>
            <w:pPr>
              <w:jc w:val="center"/>
            </w:pPr>
            <w:r/>
            <w:r>
              <w:rPr>
                <w:color w:val="000000"/>
                <w:sz w:val="16"/>
              </w:rPr>
              <w:t>4.4%</w:t>
            </w:r>
          </w:p>
        </w:tc>
        <w:tc>
          <w:tcPr>
            <w:tcW w:type="dxa" w:w="1008"/>
            <w:shd w:val="clear" w:color="auto" w:fill="F2F2F2"/>
          </w:tcPr>
          <w:p>
            <w:pPr>
              <w:jc w:val="center"/>
            </w:pPr>
            <w:r/>
            <w:r>
              <w:rPr>
                <w:color w:val="000000"/>
                <w:sz w:val="16"/>
              </w:rPr>
              <w:t>-56.2%</w:t>
            </w:r>
          </w:p>
        </w:tc>
        <w:tc>
          <w:tcPr>
            <w:tcW w:type="dxa" w:w="936"/>
            <w:shd w:val="clear" w:color="auto" w:fill="F2F2F2"/>
          </w:tcPr>
          <w:p>
            <w:pPr>
              <w:jc w:val="center"/>
            </w:pPr>
            <w:r/>
            <w:r>
              <w:rPr>
                <w:color w:val="000000"/>
                <w:sz w:val="16"/>
              </w:rPr>
              <w:t>0.16</w:t>
            </w:r>
          </w:p>
        </w:tc>
        <w:tc>
          <w:tcPr>
            <w:tcW w:type="dxa" w:w="1152"/>
            <w:shd w:val="clear" w:color="auto" w:fill="F2F2F2"/>
          </w:tcPr>
          <w:p>
            <w:pPr>
              <w:jc w:val="center"/>
            </w:pPr>
            <w:r/>
            <w:r>
              <w:rPr>
                <w:color w:val="000000"/>
                <w:sz w:val="16"/>
              </w:rPr>
              <w:t>17.9%</w:t>
            </w:r>
          </w:p>
        </w:tc>
      </w:tr>
      <w:tr>
        <w:tc>
          <w:tcPr>
            <w:tcW w:type="dxa" w:w="3168"/>
          </w:tcPr>
          <w:p>
            <w:pPr>
              <w:jc w:val="center"/>
            </w:pPr>
            <w:r/>
            <w:r>
              <w:rPr>
                <w:color w:val="000000"/>
                <w:sz w:val="16"/>
              </w:rPr>
              <w:t>SPY (S&amp;P 500 buy-hold)</w:t>
            </w:r>
          </w:p>
        </w:tc>
        <w:tc>
          <w:tcPr>
            <w:tcW w:type="dxa" w:w="864"/>
          </w:tcPr>
          <w:p>
            <w:pPr>
              <w:jc w:val="center"/>
            </w:pPr>
            <w:r/>
            <w:r>
              <w:rPr>
                <w:color w:val="000000"/>
                <w:sz w:val="16"/>
              </w:rPr>
              <w:t>10.5%</w:t>
            </w:r>
          </w:p>
        </w:tc>
        <w:tc>
          <w:tcPr>
            <w:tcW w:type="dxa" w:w="1008"/>
          </w:tcPr>
          <w:p>
            <w:pPr>
              <w:jc w:val="center"/>
            </w:pPr>
            <w:r/>
            <w:r>
              <w:rPr>
                <w:color w:val="000000"/>
                <w:sz w:val="16"/>
              </w:rPr>
              <w:t>-50.8%</w:t>
            </w:r>
          </w:p>
        </w:tc>
        <w:tc>
          <w:tcPr>
            <w:tcW w:type="dxa" w:w="936"/>
          </w:tcPr>
          <w:p>
            <w:pPr>
              <w:jc w:val="center"/>
            </w:pPr>
            <w:r/>
            <w:r>
              <w:rPr>
                <w:color w:val="000000"/>
                <w:sz w:val="16"/>
              </w:rPr>
              <w:t>0.56</w:t>
            </w:r>
          </w:p>
        </w:tc>
        <w:tc>
          <w:tcPr>
            <w:tcW w:type="dxa" w:w="1152"/>
          </w:tcPr>
          <w:p>
            <w:pPr>
              <w:jc w:val="center"/>
            </w:pPr>
            <w:r/>
            <w:r>
              <w:rPr>
                <w:color w:val="000000"/>
                <w:sz w:val="16"/>
              </w:rPr>
              <w:t>14.5%</w:t>
            </w:r>
          </w:p>
        </w:tc>
      </w:tr>
    </w:tbl>
    <w:p>
      <w:pPr>
        <w:spacing w:before="120"/>
      </w:pPr>
      <w:r>
        <w:rPr>
          <w:b/>
          <w:color w:val="800000"/>
          <w:sz w:val="20"/>
        </w:rPr>
        <w:t>CURRENT SIGNAL (as of Jan 2026)</w:t>
      </w:r>
    </w:p>
    <w:p>
      <w:r>
        <w:t>Top 7: EWY (S. Korea), EWP (Spain), EWW (Mexico), EWZ (Brazil), EWI (Italy), EWH (Hong Kong), EWT (Taiwan). All 7 passing absolute momentum — 0% cash. Themes: European value rotation + EM momentum. Heavy non-US developed Europe tilt.</w:t>
      </w:r>
    </w:p>
    <w:p>
      <w:r>
        <w:rPr>
          <w:b/>
          <w:color w:val="800000"/>
          <w:sz w:val="20"/>
        </w:rPr>
        <w:t>AREAS REQUIRING FURTHER ANALYSIS</w:t>
      </w:r>
    </w:p>
    <w:p>
      <w:pPr>
        <w:pStyle w:val="ListBullet"/>
        <w:spacing w:after="20"/>
      </w:pPr>
      <w:r>
        <w:rPr>
          <w:b/>
          <w:sz w:val="17"/>
        </w:rPr>
        <w:t>Trigger C looks best but may be overfit.</w:t>
      </w:r>
      <w:r>
        <w:rPr>
          <w:sz w:val="17"/>
        </w:rPr>
        <w:t xml:space="preserve"> The composite trigger (avg of 1/3/6/12m) has 4 implicit parameters vs. Antonacci’s single 12-month lookback. Need out-of-sample validation and sub-period stability testing before adopting.</w:t>
      </w:r>
    </w:p>
    <w:p>
      <w:pPr>
        <w:pStyle w:val="ListBullet"/>
        <w:spacing w:after="20"/>
      </w:pPr>
      <w:r>
        <w:rPr>
          <w:b/>
          <w:sz w:val="17"/>
        </w:rPr>
        <w:t>BIL start date creates a problem.</w:t>
      </w:r>
      <w:r>
        <w:rPr>
          <w:sz w:val="17"/>
        </w:rPr>
        <w:t xml:space="preserve"> BIL only starts May 2007. Triggers A/D/E use BIL as the hurdle and show 0% returns 2004–2006 because the absolute momentum filter can’t fire without cash benchmark data. Need to splice in 3-month T-bill rates from FRED pre-2007 for a clean backtest.</w:t>
      </w:r>
    </w:p>
    <w:p>
      <w:pPr>
        <w:pStyle w:val="ListBullet"/>
        <w:spacing w:after="20"/>
      </w:pPr>
      <w:r>
        <w:rPr>
          <w:b/>
          <w:sz w:val="17"/>
        </w:rPr>
        <w:t>Transaction costs and slippage not modeled.</w:t>
      </w:r>
      <w:r>
        <w:rPr>
          <w:sz w:val="17"/>
        </w:rPr>
        <w:t xml:space="preserve"> Monthly rebalancing of 7 country ETFs generates turnover. Tier 3 ETFs (EWQ, EWP, EWI) have wider spreads. Need to model realistic execution costs, especially at scale.</w:t>
      </w:r>
    </w:p>
    <w:p>
      <w:pPr>
        <w:pStyle w:val="ListBullet"/>
        <w:spacing w:after="20"/>
      </w:pPr>
      <w:r>
        <w:rPr>
          <w:b/>
          <w:sz w:val="17"/>
        </w:rPr>
        <w:t>Currency effects embedded but unexamined.</w:t>
      </w:r>
      <w:r>
        <w:rPr>
          <w:sz w:val="17"/>
        </w:rPr>
        <w:t xml:space="preserve"> All returns are USD-denominated. A strong dollar regime (like 2014–2015) crushes international returns regardless of local momentum. Should we add a USD filter or currency-hedged variants?</w:t>
      </w:r>
    </w:p>
    <w:p>
      <w:pPr>
        <w:pStyle w:val="ListBullet"/>
        <w:spacing w:after="20"/>
      </w:pPr>
      <w:r>
        <w:rPr>
          <w:b/>
          <w:sz w:val="17"/>
        </w:rPr>
        <w:t>No tail-risk protection.</w:t>
      </w:r>
      <w:r>
        <w:rPr>
          <w:sz w:val="17"/>
        </w:rPr>
        <w:t xml:space="preserve"> Max drawdown of -27% on the best trigger is better than EFA’s -57%, but still significant. Consider adding a CAOS-style convexity overlay or VIX regime filter, consistent with the existing Potomac defensive architecture.</w:t>
      </w:r>
    </w:p>
    <w:p>
      <w:pPr>
        <w:pStyle w:val="ListBullet"/>
        <w:spacing w:after="20"/>
      </w:pPr>
      <w:r>
        <w:rPr>
          <w:b/>
          <w:sz w:val="17"/>
        </w:rPr>
        <w:t>Concentration risk in current signal.</w:t>
      </w:r>
      <w:r>
        <w:rPr>
          <w:sz w:val="17"/>
        </w:rPr>
        <w:t xml:space="preserve"> 5 of 7 current holdings are in just two themes (European value + EM). Correlation within the basket during a risk-off event could be high. Need to stress-test the portfolio under 2008/2020 shock scenarios.</w:t>
      </w:r>
    </w:p>
    <w:p>
      <w:pPr>
        <w:pStyle w:val="ListBullet"/>
        <w:spacing w:after="20"/>
      </w:pPr>
      <w:r>
        <w:rPr>
          <w:b/>
          <w:sz w:val="17"/>
        </w:rPr>
        <w:t>Integration with existing Potomac strategies.</w:t>
      </w:r>
      <w:r>
        <w:rPr>
          <w:sz w:val="17"/>
        </w:rPr>
        <w:t xml:space="preserve"> How does this complement or overlap with the current Bull Bear signal and CRTOX/CRTPX allocations? Need correlation analysis against the existing book.</w:t>
      </w:r>
    </w:p>
    <w:p>
      <w:pPr>
        <w:spacing w:before="160"/>
      </w:pPr>
      <w:r>
        <w:rPr>
          <w:color w:val="800000"/>
          <w:sz w:val="12"/>
        </w:rPr>
        <w:t>_______________________________________________________________________________________________</w:t>
      </w:r>
    </w:p>
    <w:p>
      <w:r>
        <w:rPr>
          <w:b/>
          <w:color w:val="800000"/>
          <w:sz w:val="18"/>
        </w:rPr>
        <w:t xml:space="preserve">Bottom Line: </w:t>
      </w:r>
      <w:r>
        <w:rPr>
          <w:sz w:val="18"/>
        </w:rPr>
        <w:t>The concept has merit — country momentum is a well-documented factor (Asness, Moskowitz, Pedersen 2013), and the absolute momentum filter materially reduces drawdowns vs. passive international. But the backtest has data gaps, the best trigger may be overfit, and implementation details (costs, currency, tail risk, portfolio integration) are unresolved. This is a research starting point, not a tradeable strategy yet. Recommend dedicating next session to fixing the BIL data issue and running sub-period robustness checks.</w:t>
      </w:r>
    </w:p>
    <w:sectPr w:rsidR="00FC693F" w:rsidRPr="0006063C" w:rsidSect="00034616">
      <w:pgSz w:w="12240" w:h="15840"/>
      <w:pgMar w:top="720"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