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8B140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initializeGL()</w:t>
      </w:r>
    </w:p>
    <w:p w14:paraId="0192A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初始化 OpenGL 环境</w:t>
      </w:r>
    </w:p>
    <w:p w14:paraId="3A9F0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shd w:val="clear" w:fill="F8F8F8"/>
          <w:lang w:val="en-US" w:eastAsia="zh-CN" w:bidi="ar"/>
        </w:rPr>
        <w:t>initializeGL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() {</w:t>
      </w:r>
    </w:p>
    <w:p w14:paraId="34960C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AFAFA"/>
          <w:lang w:val="en-US" w:eastAsia="zh-CN" w:bidi="ar"/>
        </w:rPr>
        <w:t>glClearColor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0.1f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0.1f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0.1f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AFAFA"/>
          <w:lang w:val="en-US" w:eastAsia="zh-CN" w:bidi="ar"/>
        </w:rPr>
        <w:t>// 设置清屏颜色为深灰色（RGBA：0.1, 0.1, 0.1，完全不透明）</w:t>
      </w:r>
    </w:p>
    <w:p w14:paraId="77908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shd w:val="clear" w:fill="F8F8F8"/>
          <w:lang w:val="en-US" w:eastAsia="zh-CN" w:bidi="ar"/>
        </w:rPr>
        <w:t>glEnable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8F8F8"/>
          <w:lang w:val="en-US" w:eastAsia="zh-CN" w:bidi="ar"/>
        </w:rPr>
        <w:t>(GL_DEPTH_TEST);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shd w:val="clear" w:fill="F8F8F8"/>
          <w:lang w:val="en-US" w:eastAsia="zh-CN" w:bidi="ar"/>
        </w:rPr>
        <w:t>// 启用深度测试，确保正确渲染 3D 对象的深度关系</w:t>
      </w:r>
    </w:p>
    <w:p w14:paraId="0F926B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eastAsia" w:ascii="宋体" w:hAnsi="宋体" w:eastAsia="宋体" w:cs="宋体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shd w:val="clear" w:fill="FAFAFA"/>
          <w:lang w:val="en-US" w:eastAsia="zh-CN" w:bidi="ar"/>
        </w:rPr>
        <w:t>}</w:t>
      </w:r>
    </w:p>
    <w:p w14:paraId="08569597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initializeGL()</w:t>
      </w:r>
      <w:r>
        <w:rPr>
          <w:rFonts w:hint="eastAsia" w:ascii="宋体" w:hAnsi="宋体" w:eastAsia="宋体" w:cs="宋体"/>
        </w:rPr>
        <w:t xml:space="preserve"> 函数负责初始化 OpenGL 渲染环境，设置背景颜色为深灰色（RGBA：0.1, 0.1, 0.1, 1.0），通过 glClearColor 实现，并启用深度测试（glEnable(GL_DEPTH_TEST)），以确保 3D 对象按深度正确渲染遮挡关系，为后续场景绘制提供基础环境。</w:t>
      </w:r>
    </w:p>
    <w:p w14:paraId="23D5CFEC">
      <w:pPr>
        <w:ind w:firstLine="420" w:firstLineChars="200"/>
        <w:rPr>
          <w:rFonts w:hint="eastAsia" w:ascii="宋体" w:hAnsi="宋体" w:eastAsia="宋体" w:cs="宋体"/>
        </w:rPr>
      </w:pPr>
    </w:p>
    <w:p w14:paraId="74678AB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2.drawCoordinateAxes()</w:t>
      </w:r>
    </w:p>
    <w:p w14:paraId="04ABF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绘制坐标轴（X、Y、Z），作为 3D 场景的参考</w:t>
      </w:r>
    </w:p>
    <w:p w14:paraId="211A06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drawCoordinateAxes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 {</w:t>
      </w:r>
    </w:p>
    <w:p w14:paraId="0ECE0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glBegin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(GL_LINES);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开始绘制线段模式</w:t>
      </w:r>
    </w:p>
    <w:p w14:paraId="4E633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设置颜色为红色（X 轴）</w:t>
      </w:r>
    </w:p>
    <w:p w14:paraId="16FB9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glVertex3f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glVertex3f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 X 轴（从原点到 (6, 0, 0)）</w:t>
      </w:r>
    </w:p>
    <w:p w14:paraId="59A36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glVertex3f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glVertex3f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 Y 轴（从原点到 (0, 6, 0)）</w:t>
      </w:r>
    </w:p>
    <w:p w14:paraId="38246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glVertex3f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glVertex3f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 Z 轴（从原点到 (0, 0, 6)）</w:t>
      </w:r>
    </w:p>
    <w:p w14:paraId="7F18C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glEnd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结束线段绘制</w:t>
      </w:r>
    </w:p>
    <w:p w14:paraId="121AA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}</w:t>
      </w:r>
    </w:p>
    <w:p w14:paraId="33DE3643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drawCoordinateAxes()</w:t>
      </w:r>
      <w:r>
        <w:rPr>
          <w:rFonts w:hint="eastAsia" w:ascii="宋体" w:hAnsi="宋体" w:eastAsia="宋体" w:cs="宋体"/>
        </w:rPr>
        <w:t xml:space="preserve"> 函数用于绘制 X、Y、Z 坐标轴，作为 3D 场景的空间参考，通过 glBegin(GL_LINES) 进入线段绘制模式，设置红色（glColor3f(1.0f, 0.0f, 0.0f)），绘制从原点 (0, 0, 0) 到 (6, 0, 0)、(0, 6, 0)、(0, 0, 6) 的三条线段，最后用 glEnd() 结束绘制。</w:t>
      </w:r>
    </w:p>
    <w:p w14:paraId="3C0F7ED7">
      <w:pPr>
        <w:ind w:firstLine="420" w:firstLineChars="200"/>
        <w:rPr>
          <w:rFonts w:hint="eastAsia" w:ascii="宋体" w:hAnsi="宋体" w:eastAsia="宋体" w:cs="宋体"/>
        </w:rPr>
      </w:pPr>
    </w:p>
    <w:p w14:paraId="54B7B73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3.drawObjects() </w:t>
      </w:r>
    </w:p>
    <w:p w14:paraId="14AF4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绘制场景中的 3D 对象（立方体、球体、茶壶）</w:t>
      </w:r>
    </w:p>
    <w:p w14:paraId="03E9B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drawObjects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 {</w:t>
      </w:r>
    </w:p>
    <w:p w14:paraId="3E133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绘制第一个立方体</w:t>
      </w:r>
    </w:p>
    <w:p w14:paraId="330C8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保存当前模型矩阵</w:t>
      </w:r>
    </w:p>
    <w:p w14:paraId="4947B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设置颜色为蓝色</w:t>
      </w:r>
    </w:p>
    <w:p w14:paraId="1FE9E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-2.0f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将立方体平移到 (-2, 0, -4)</w:t>
      </w:r>
    </w:p>
    <w:p w14:paraId="1F649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glutSolidCube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绘制边长为 1 的实心立方体</w:t>
      </w:r>
    </w:p>
    <w:p w14:paraId="3BBA4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恢复模型矩阵</w:t>
      </w:r>
    </w:p>
    <w:p w14:paraId="01AD3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绘制第二个立方体</w:t>
      </w:r>
    </w:p>
    <w:p w14:paraId="1482C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</w:t>
      </w:r>
    </w:p>
    <w:p w14:paraId="69B7A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设置颜色为红色</w:t>
      </w:r>
    </w:p>
    <w:p w14:paraId="0D9DB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-2.0f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-6.0f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将立方体平移到 (-2, 0, -6)</w:t>
      </w:r>
    </w:p>
    <w:p w14:paraId="000E9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glutSolidCube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绘制边长为 1 的实心立方体</w:t>
      </w:r>
    </w:p>
    <w:p w14:paraId="21F8E8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</w:t>
      </w:r>
    </w:p>
    <w:p w14:paraId="41722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绘制第一个球体</w:t>
      </w:r>
    </w:p>
    <w:p w14:paraId="60F5F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</w:t>
      </w:r>
    </w:p>
    <w:p w14:paraId="6941A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设置颜色为蓝色</w:t>
      </w:r>
    </w:p>
    <w:p w14:paraId="021DC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将球体平移到 (0, 0, -4)</w:t>
      </w:r>
    </w:p>
    <w:p w14:paraId="5A500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glutSolidSphere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0.7f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绘制半径为 0.7 的实心球体，细分 20x20</w:t>
      </w:r>
    </w:p>
    <w:p w14:paraId="0E49C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</w:t>
      </w:r>
    </w:p>
    <w:p w14:paraId="1EAA46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绘制第二个球体</w:t>
      </w:r>
    </w:p>
    <w:p w14:paraId="5CBAB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</w:t>
      </w:r>
    </w:p>
    <w:p w14:paraId="3A0D8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设置颜色为红色</w:t>
      </w:r>
    </w:p>
    <w:p w14:paraId="73725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-6.0f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将球体平移到 (0, 0, -6)</w:t>
      </w:r>
    </w:p>
    <w:p w14:paraId="4D9FD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glutSolidSphere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0.7f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20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绘制半径为 0.7 的实心球体，细分 20x20</w:t>
      </w:r>
    </w:p>
    <w:p w14:paraId="245BE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</w:t>
      </w:r>
    </w:p>
    <w:p w14:paraId="127B7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绘制第一个茶壶</w:t>
      </w:r>
    </w:p>
    <w:p w14:paraId="2AF2B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</w:t>
      </w:r>
    </w:p>
    <w:p w14:paraId="5DC77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设置颜色为蓝色</w:t>
      </w:r>
    </w:p>
    <w:p w14:paraId="4A365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2.0f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-4.0f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将茶壶平移到 (2, 0, -4)</w:t>
      </w:r>
    </w:p>
    <w:p w14:paraId="42E6A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glutSolidTeapot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绘制尺寸为 0.6 的实心茶壶</w:t>
      </w:r>
    </w:p>
    <w:p w14:paraId="1A620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</w:t>
      </w:r>
    </w:p>
    <w:p w14:paraId="6104C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绘制第二个茶壶</w:t>
      </w:r>
    </w:p>
    <w:p w14:paraId="323C4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glPushMatrix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</w:t>
      </w:r>
    </w:p>
    <w:p w14:paraId="6C007C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glColor3f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设置颜色为红色</w:t>
      </w:r>
    </w:p>
    <w:p w14:paraId="652CC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glTranslatef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2.0f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-6.0f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将茶壶平移到 (2, 0, -6)</w:t>
      </w:r>
    </w:p>
    <w:p w14:paraId="6FCA00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glutSolidTeapot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0.6f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绘制尺寸为 0.6 的实心茶壶</w:t>
      </w:r>
    </w:p>
    <w:p w14:paraId="287CD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glPopMatrix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</w:t>
      </w:r>
    </w:p>
    <w:p w14:paraId="0C317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}</w:t>
      </w:r>
    </w:p>
    <w:p w14:paraId="21DE10C4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drawObjects()</w:t>
      </w:r>
      <w:r>
        <w:rPr>
          <w:rFonts w:hint="eastAsia" w:ascii="宋体" w:hAnsi="宋体" w:eastAsia="宋体" w:cs="宋体"/>
        </w:rPr>
        <w:t xml:space="preserve"> 函数绘制场景中的六个 3D 对象，包括两个立方体、两个球体和两个茶壶，使用 glPushMatrix() 和 glPopMatrix() 隔离每个对象的变换以避免干扰，分别设置蓝色或红色并通过 glTranslatef 平移到指定位置：立方体位于 (-2, 0, -4) 和 (-2, 0, -6)，调用 glutSolidCube(1.0f)；球体位于 (0, 0, -4) 和 (0, 0, -6)，调用 glutSolidSphere(0.7f, 20, 20)；茶壶位于 (2, 0, -4) 和 (2, 0, -6)，调用 glutSolidTeapot(0.6f)。</w:t>
      </w:r>
    </w:p>
    <w:p w14:paraId="0AEC7CD3">
      <w:pPr>
        <w:ind w:firstLine="420" w:firstLineChars="200"/>
        <w:rPr>
          <w:rFonts w:hint="eastAsia" w:ascii="宋体" w:hAnsi="宋体" w:eastAsia="宋体" w:cs="宋体"/>
        </w:rPr>
      </w:pPr>
    </w:p>
    <w:p w14:paraId="15B0E66F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4.displayScene() </w:t>
      </w:r>
    </w:p>
    <w:p w14:paraId="247CA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渲染整个场景</w:t>
      </w:r>
    </w:p>
    <w:p w14:paraId="25B62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displayScene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 {</w:t>
      </w:r>
    </w:p>
    <w:p w14:paraId="47D82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glClear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(GL_COLOR_BUFFER_BIT | GL_DEPTH_BUFFER_BIT);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清除颜色缓冲区和深度缓冲区</w:t>
      </w:r>
    </w:p>
    <w:p w14:paraId="665B3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(GL_PROJECTION);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设置当前矩阵模式为投影矩阵</w:t>
      </w:r>
    </w:p>
    <w:p w14:paraId="3D05C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glLoadIdentity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重置投影矩阵为单位矩阵</w:t>
      </w:r>
    </w:p>
    <w:p w14:paraId="4795F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根据 projectionMode 设置投影类型</w:t>
      </w:r>
    </w:p>
    <w:p w14:paraId="64A6B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(projectionMode ==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 {</w:t>
      </w:r>
    </w:p>
    <w:p w14:paraId="2D5FF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gluPerspective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75.0f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0.5f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50.0f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透视投影：视场角 75°，宽高比 1，近裁剪面 0.5，远裁剪面 50</w:t>
      </w:r>
    </w:p>
    <w:p w14:paraId="0F022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}</w:t>
      </w:r>
    </w:p>
    <w:p w14:paraId="598ED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{</w:t>
      </w:r>
    </w:p>
    <w:p w14:paraId="34E08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glOrtho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-10.0f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-10.0f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0.5f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50.0f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正交投影：视口范围 [-10, 10] x [-10, 10]，近裁剪面 0.5，远裁剪面 50</w:t>
      </w:r>
    </w:p>
    <w:p w14:paraId="5CD59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}</w:t>
      </w:r>
    </w:p>
    <w:p w14:paraId="133F5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glMatrixMode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(GL_MODELVIEW);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切换到模型视图矩阵</w:t>
      </w:r>
    </w:p>
    <w:p w14:paraId="4D84F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glLoadIdentity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重置模型视图矩阵为单位矩阵</w:t>
      </w:r>
    </w:p>
    <w:p w14:paraId="6C0A7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gluLookAt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4.0f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12.0f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-6.0f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设置相机：位置 (0, 4, 12)，观察点 (0, 0, -6)，上方向 (0, 1, 0)</w:t>
      </w:r>
    </w:p>
    <w:p w14:paraId="6B8D5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如果启用旋转，增加旋转角度</w:t>
      </w:r>
    </w:p>
    <w:p w14:paraId="137AB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(isRotating) {</w:t>
      </w:r>
    </w:p>
    <w:p w14:paraId="2B531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    rotationAngle +=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0.3f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每次帧增加 0.3 度的旋转</w:t>
      </w:r>
    </w:p>
    <w:p w14:paraId="776B0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}</w:t>
      </w:r>
    </w:p>
    <w:p w14:paraId="20A69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glRotatef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(rotationAngle,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0.0f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围绕 Y 轴旋转 rotationAngle 度</w:t>
      </w:r>
    </w:p>
    <w:p w14:paraId="2B3FD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drawCoordinateAxes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绘制坐标轴</w:t>
      </w:r>
    </w:p>
    <w:p w14:paraId="290E7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drawObjects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绘制所有 3D 对象</w:t>
      </w:r>
    </w:p>
    <w:p w14:paraId="04C90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glutSwapBuffers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交换前后缓冲区，显示渲染结果</w:t>
      </w:r>
    </w:p>
    <w:p w14:paraId="11EFC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}</w:t>
      </w:r>
    </w:p>
    <w:p w14:paraId="0A51543A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displayScene()</w:t>
      </w:r>
      <w:r>
        <w:rPr>
          <w:rFonts w:hint="eastAsia" w:ascii="宋体" w:hAnsi="宋体" w:eastAsia="宋体" w:cs="宋体"/>
        </w:rPr>
        <w:t xml:space="preserve"> 函数是核心渲染函数，负责绘制整个 3D 场景，先通过 glClear(GL_COLOR_BUFFER_BIT | GL_DEPTH_BUFFER_BIT) 清除颜色和深度缓冲区，然后设置投影矩阵，根据 projectionMode 选择透视投影（gluPerspective(75.0f, 1.0f, 0.5f, 50.0f)）或正交投影（glOrtho(-10.0f, 10.0f, -10.0f, 10.0f, 0.5f, 50.0f)），切换到模型视图矩阵后使用 gluLookAt(0.0f, 4.0f, 12.0f, 0.0f, 0.0f, -6.0f, 0.0f, 1.0f, 0.0f) 设置相机，若 isRotating 为真则递增 rotationAngle 并通过 glRotatef 实现 Y 轴旋转，最后调用 drawCoordinateAxes() 和 drawObjects() 绘制场景内容，并用 glutSwapBuffers() 交换缓冲区显示结果。</w:t>
      </w:r>
    </w:p>
    <w:p w14:paraId="68B0BE00">
      <w:pPr>
        <w:ind w:firstLine="420" w:firstLineChars="200"/>
        <w:rPr>
          <w:rFonts w:hint="eastAsia" w:ascii="宋体" w:hAnsi="宋体" w:eastAsia="宋体" w:cs="宋体"/>
        </w:rPr>
      </w:pPr>
    </w:p>
    <w:p w14:paraId="47A94668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5.updateScene(int value)</w:t>
      </w:r>
    </w:p>
    <w:p w14:paraId="6C0BA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定时器回调函数，用于连续更新场景</w:t>
      </w:r>
    </w:p>
    <w:p w14:paraId="4491D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updateScene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value) {</w:t>
      </w:r>
    </w:p>
    <w:p w14:paraId="12345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glutPostRedisplay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标记窗口需要重绘，触发 displayScene</w:t>
      </w:r>
    </w:p>
    <w:p w14:paraId="4DFDB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glutTimerFunc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updateScene,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每 10 毫秒调用一次 updateScene，形成动画循环</w:t>
      </w:r>
    </w:p>
    <w:p w14:paraId="2C021A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}</w:t>
      </w:r>
    </w:p>
    <w:p w14:paraId="6A9A2421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updateScene(int value)</w:t>
      </w:r>
      <w:r>
        <w:rPr>
          <w:rFonts w:hint="eastAsia" w:ascii="宋体" w:hAnsi="宋体" w:eastAsia="宋体" w:cs="宋体"/>
        </w:rPr>
        <w:t xml:space="preserve"> 函数实现动画效果，通过 glutPostRedisplay() 触发重绘，并使用 glutTimerFunc(10, updateScene, 0) 每 10 毫秒调用一次自身，形成连续的动画循环，确保场景动态更新。</w:t>
      </w:r>
    </w:p>
    <w:p w14:paraId="2DCED56A">
      <w:pPr>
        <w:ind w:firstLine="420" w:firstLineChars="200"/>
        <w:rPr>
          <w:rFonts w:hint="eastAsia" w:ascii="宋体" w:hAnsi="宋体" w:eastAsia="宋体" w:cs="宋体"/>
        </w:rPr>
      </w:pPr>
    </w:p>
    <w:p w14:paraId="6D8B9A12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6.projectionMenu(int option)</w:t>
      </w:r>
    </w:p>
    <w:p w14:paraId="2ED6C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右键菜单回调函数，用于切换投影模式</w:t>
      </w:r>
    </w:p>
    <w:p w14:paraId="7C83B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projectionMenu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option) {</w:t>
      </w:r>
    </w:p>
    <w:p w14:paraId="3C082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projectionMode = option;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设置投影模式（1: 透视，0: 正交）</w:t>
      </w:r>
    </w:p>
    <w:p w14:paraId="1A44F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glutPostRedisplay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触发重绘以应用新的投影模式</w:t>
      </w:r>
    </w:p>
    <w:p w14:paraId="009EA7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}</w:t>
      </w:r>
    </w:p>
    <w:p w14:paraId="241A1E76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projectionMenu(int option)</w:t>
      </w:r>
      <w:r>
        <w:rPr>
          <w:rFonts w:hint="eastAsia" w:ascii="宋体" w:hAnsi="宋体" w:eastAsia="宋体" w:cs="宋体"/>
        </w:rPr>
        <w:t xml:space="preserve"> 函数处理右键菜单的投影模式切换，根据传入的 option 参数设置 projectionMode（1 为透视投影，0 为正交投影），并调用 glutPostRedisplay() 触发场景重绘以应用新的投影设置。</w:t>
      </w:r>
    </w:p>
    <w:p w14:paraId="51D481AB">
      <w:pPr>
        <w:rPr>
          <w:rFonts w:hint="eastAsia" w:ascii="宋体" w:hAnsi="宋体" w:eastAsia="宋体" w:cs="宋体"/>
        </w:rPr>
      </w:pPr>
    </w:p>
    <w:p w14:paraId="06D348EB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7.handleMouse(int button, int state, int x, int y)</w:t>
      </w:r>
    </w:p>
    <w:p w14:paraId="6649D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鼠标事件处理函数</w:t>
      </w:r>
    </w:p>
    <w:p w14:paraId="060C0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handleMouse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button,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state,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x,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y) {</w:t>
      </w:r>
    </w:p>
    <w:p w14:paraId="4C286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(button == GLUT_RIGHT_BUTTON &amp;&amp; state == GLUT_DOWN) {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检测右键按下事件</w:t>
      </w:r>
    </w:p>
    <w:p w14:paraId="1E79B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glutCreateMenu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(projectionMenu);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创建右键菜单</w:t>
      </w:r>
    </w:p>
    <w:p w14:paraId="749F8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glutAddMenuEntry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"透视投影"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添加菜单项：透视投影</w:t>
      </w:r>
    </w:p>
    <w:p w14:paraId="71A62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glutAddMenuEntry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"正交投影"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添加菜单项：正交投影</w:t>
      </w:r>
    </w:p>
    <w:p w14:paraId="78F59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glutAttachMenu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(GLUT_RIGHT_BUTTON);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将菜单绑定到右键</w:t>
      </w:r>
    </w:p>
    <w:p w14:paraId="4CB2F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}</w:t>
      </w:r>
    </w:p>
    <w:p w14:paraId="66C3A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}</w:t>
      </w:r>
    </w:p>
    <w:p w14:paraId="1E25B78A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handleMouse(int button, int state, int x, int y) </w:t>
      </w:r>
      <w:r>
        <w:rPr>
          <w:rFonts w:hint="eastAsia" w:ascii="宋体" w:hAnsi="宋体" w:eastAsia="宋体" w:cs="宋体"/>
        </w:rPr>
        <w:t>函数处理鼠标事件，当检测到右键按下（GLUT_RIGHT_BUTTON 和 GLUT_DOWN）时，调用 glutCreateMenu(projectionMenu) 创建包含“透视投影”和“正交投影”选项的菜单，并通过 glutAttachMenu(GLUT_RIGHT_BUTTON) 将其绑定到右键，实现投影模式的选择功能。</w:t>
      </w:r>
    </w:p>
    <w:p w14:paraId="279E7C79">
      <w:pPr>
        <w:rPr>
          <w:rFonts w:hint="eastAsia" w:ascii="宋体" w:hAnsi="宋体" w:eastAsia="宋体" w:cs="宋体"/>
        </w:rPr>
      </w:pPr>
    </w:p>
    <w:p w14:paraId="5660FAFC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8.handleKeyboard(unsigned char key, int x, int y)</w:t>
      </w:r>
    </w:p>
    <w:p w14:paraId="359FD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键盘事件处理函数</w:t>
      </w:r>
    </w:p>
    <w:p w14:paraId="4835B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handleKeyboard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key,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x,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y) {</w:t>
      </w:r>
    </w:p>
    <w:p w14:paraId="1FD50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(key ==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'r'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|| key ==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'R'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按 'r' 或 'R' 开始旋转</w:t>
      </w:r>
    </w:p>
    <w:p w14:paraId="6EAA0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    isRotating = </w:t>
      </w:r>
      <w:r>
        <w:rPr>
          <w:rFonts w:hint="default" w:ascii="Consolas" w:hAnsi="Consolas" w:eastAsia="Consolas" w:cs="Consolas"/>
          <w:color w:val="0184BB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;</w:t>
      </w:r>
    </w:p>
    <w:p w14:paraId="6CD40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}</w:t>
      </w:r>
    </w:p>
    <w:p w14:paraId="11ADE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(key ==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|| key == 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 {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按 's' 或 'S' 停止旋转</w:t>
      </w:r>
    </w:p>
    <w:p w14:paraId="66AB9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    isRotating = </w:t>
      </w:r>
      <w:r>
        <w:rPr>
          <w:rFonts w:hint="default" w:ascii="Consolas" w:hAnsi="Consolas" w:eastAsia="Consolas" w:cs="Consolas"/>
          <w:color w:val="0184BB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;</w:t>
      </w:r>
    </w:p>
    <w:p w14:paraId="2EC81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}</w:t>
      </w:r>
    </w:p>
    <w:p w14:paraId="243D9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glutPostRedisplay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触发重绘以更新场景</w:t>
      </w:r>
    </w:p>
    <w:p w14:paraId="58660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}</w:t>
      </w:r>
    </w:p>
    <w:p w14:paraId="2017E64B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handleKeyboard(unsigned char key, int x, int y)</w:t>
      </w:r>
      <w:r>
        <w:rPr>
          <w:rFonts w:hint="eastAsia" w:ascii="宋体" w:hAnsi="宋体" w:eastAsia="宋体" w:cs="宋体"/>
        </w:rPr>
        <w:t xml:space="preserve"> 函数处理键盘输入，当按下 'r' 或 'R' 键时将 isRotating 设为 true 以启动场景旋转，按下 's' 或 'S' 键时设为 false 以停止旋转，随后调用 glutPostRedisplay() 更新场景显示。</w:t>
      </w:r>
    </w:p>
    <w:p w14:paraId="01ABB495">
      <w:pPr>
        <w:rPr>
          <w:rFonts w:hint="eastAsia" w:ascii="宋体" w:hAnsi="宋体" w:eastAsia="宋体" w:cs="宋体"/>
        </w:rPr>
      </w:pPr>
    </w:p>
    <w:p w14:paraId="0AE52C2D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9.reshapeWindow(int width, int height)</w:t>
      </w:r>
    </w:p>
    <w:p w14:paraId="1378E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窗口大小调整回调函数</w:t>
      </w:r>
    </w:p>
    <w:p w14:paraId="183AD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reshapeWindow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width,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height) {</w:t>
      </w:r>
    </w:p>
    <w:p w14:paraId="2314C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glViewport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width, height);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设置视口大小与窗口大小一致</w:t>
      </w:r>
    </w:p>
    <w:p w14:paraId="031F60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}</w:t>
      </w:r>
    </w:p>
    <w:p w14:paraId="46C01514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reshapeWindow(int width, int height) </w:t>
      </w:r>
      <w:r>
        <w:rPr>
          <w:rFonts w:hint="eastAsia" w:ascii="宋体" w:hAnsi="宋体" w:eastAsia="宋体" w:cs="宋体"/>
        </w:rPr>
        <w:t>函数处理窗口大小调整，通过 glViewport(0, 0, width, height) 设置视口与当前窗口大小一致，确保渲染区域适应窗口变化。</w:t>
      </w:r>
    </w:p>
    <w:p w14:paraId="0F965F4B">
      <w:pPr>
        <w:rPr>
          <w:rFonts w:hint="eastAsia" w:ascii="宋体" w:hAnsi="宋体" w:eastAsia="宋体" w:cs="宋体"/>
        </w:rPr>
      </w:pPr>
    </w:p>
    <w:p w14:paraId="5EF6D9D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10.main(int argc, char** argv)</w:t>
      </w:r>
    </w:p>
    <w:p w14:paraId="7DEC0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主函数，程序入口</w:t>
      </w:r>
    </w:p>
    <w:p w14:paraId="0D38A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4078F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argc,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** argv) {</w:t>
      </w:r>
    </w:p>
    <w:p w14:paraId="036BD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glutInit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(&amp;argc, argv);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初始化 GLUT</w:t>
      </w:r>
    </w:p>
    <w:p w14:paraId="7A7D6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glutInitDisplayMode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(GLUT_DOUBLE | GLUT_RGB | GLUT_DEPTH);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设置显示模式：双缓冲、RGB 颜色、启用深度缓冲</w:t>
      </w:r>
    </w:p>
    <w:p w14:paraId="44929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glutInitWindowSize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600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600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设置窗口大小为 600x600 像素</w:t>
      </w:r>
    </w:p>
    <w:p w14:paraId="2D4BD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glutCreateWindow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0A14F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"3D Scene with Projection Switching"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创建窗口，标题为“3D 场景与投影切换”</w:t>
      </w:r>
    </w:p>
    <w:p w14:paraId="3AAF0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initializeGL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调用初始化函数</w:t>
      </w:r>
    </w:p>
    <w:p w14:paraId="33DC3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glutDisplayFunc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(displayScene);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注册渲染回调函数</w:t>
      </w:r>
    </w:p>
    <w:p w14:paraId="06F50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glutReshapeFunc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(reshapeWindow);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注册窗口调整回调函数</w:t>
      </w:r>
    </w:p>
    <w:p w14:paraId="6FCD83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glutMouseFunc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(handleMouse);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注册鼠标事件回调函数</w:t>
      </w:r>
    </w:p>
    <w:p w14:paraId="3B15B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glutKeyboardFunc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(handleKeyboard);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注册键盘事件回调函数</w:t>
      </w:r>
    </w:p>
    <w:p w14:paraId="7E975A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glutTimerFunc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, updateScene,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启动定时器，立即调用 updateScene</w:t>
      </w:r>
    </w:p>
    <w:p w14:paraId="073A7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C18401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glutMainLoop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();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// 进入 GLUT 主循环，处理事件和渲染</w:t>
      </w:r>
    </w:p>
    <w:p w14:paraId="7C6F3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A626A4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color w:val="986801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; </w:t>
      </w:r>
      <w:r>
        <w:rPr>
          <w:rFonts w:hint="default" w:ascii="Consolas" w:hAnsi="Consolas" w:eastAsia="Consolas" w:cs="Consolas"/>
          <w:i/>
          <w:iCs/>
          <w:color w:val="A0A1A7"/>
          <w:kern w:val="0"/>
          <w:sz w:val="20"/>
          <w:szCs w:val="20"/>
          <w:bdr w:val="none" w:color="auto" w:sz="0" w:space="0"/>
          <w:shd w:val="clear" w:fill="F8F8F8"/>
          <w:lang w:val="en-US" w:eastAsia="zh-CN" w:bidi="ar"/>
        </w:rPr>
        <w:t>// 程序结束（实际不会执行到这里，因为 glutMainLoop 不返回）</w:t>
      </w:r>
    </w:p>
    <w:p w14:paraId="3CCE2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11" w:lineRule="atLeast"/>
        <w:ind w:right="0"/>
        <w:jc w:val="left"/>
        <w:rPr>
          <w:rFonts w:hint="default" w:ascii="Consolas" w:hAnsi="Consolas" w:eastAsia="Consolas" w:cs="Consolas"/>
          <w:color w:val="383A42"/>
          <w:sz w:val="20"/>
          <w:szCs w:val="20"/>
        </w:rPr>
      </w:pPr>
      <w:r>
        <w:rPr>
          <w:rFonts w:hint="default" w:ascii="Consolas" w:hAnsi="Consolas" w:eastAsia="Consolas" w:cs="Consolas"/>
          <w:color w:val="383A42"/>
          <w:kern w:val="0"/>
          <w:sz w:val="20"/>
          <w:szCs w:val="20"/>
          <w:bdr w:val="none" w:color="auto" w:sz="0" w:space="0"/>
          <w:shd w:val="clear" w:fill="FAFAFA"/>
          <w:lang w:val="en-US" w:eastAsia="zh-CN" w:bidi="ar"/>
        </w:rPr>
        <w:t>}</w:t>
      </w:r>
    </w:p>
    <w:p w14:paraId="54D4E46B">
      <w:pPr>
        <w:ind w:firstLine="422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main(int argc, char** argv) </w:t>
      </w:r>
      <w:r>
        <w:rPr>
          <w:rFonts w:hint="eastAsia" w:ascii="宋体" w:hAnsi="宋体" w:eastAsia="宋体" w:cs="宋体"/>
        </w:rPr>
        <w:t>函数是程序入口，初始化 GLUT 环境，通过 glutInit(&amp;argc, argv) 和 glutInitDisplayMode(GLUT_DOUBLE | GLUT_RGB | GLUT_DEPTH) 设置双缓冲、RGB 颜色和深度缓冲模式，使用 glutInitWindowSize(600, 600) 和 glutCreateWindow("3D Scene with Projection Switching") 创建 600x600 像素的窗口，调用 initializeGL() 初始化环境，注册渲染（glutDisplayFunc(displayScene)）、窗口调整（glutReshapeFunc(reshapeWindow)）、鼠标（glutMouseFunc(handleMouse)）、键盘（glutKeyboardFunc(handleKeyboard)）和定时器（glutTimerFunc(0, updateScene, 0)）回调函数，最后通过 glutMainLoop() 进入事件循环处理用户交互和渲染。</w:t>
      </w:r>
    </w:p>
    <w:p w14:paraId="6A567DD3">
      <w:pPr>
        <w:ind w:firstLine="420" w:firstLineChars="200"/>
        <w:rPr>
          <w:rFonts w:hint="eastAsia" w:ascii="宋体" w:hAnsi="宋体" w:eastAsia="宋体" w:cs="宋体"/>
        </w:rPr>
      </w:pPr>
    </w:p>
    <w:p w14:paraId="1AFD68E3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11.运行截图</w:t>
      </w:r>
    </w:p>
    <w:p w14:paraId="48845DDB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(1)右键菜单，显示透视投影和正交投影</w:t>
      </w:r>
    </w:p>
    <w:p w14:paraId="7D0B09A1">
      <w:pPr>
        <w:ind w:firstLine="420" w:firstLineChars="0"/>
      </w:pPr>
      <w:r>
        <w:drawing>
          <wp:inline distT="0" distB="0" distL="114300" distR="114300">
            <wp:extent cx="3023235" cy="3174365"/>
            <wp:effectExtent l="0" t="0" r="5715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E408"/>
    <w:p w14:paraId="3BB027E7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(2)按R开始旋转</w:t>
      </w:r>
    </w:p>
    <w:p w14:paraId="234657B4">
      <w:pPr>
        <w:ind w:firstLine="420" w:firstLineChars="0"/>
      </w:pPr>
      <w:r>
        <w:drawing>
          <wp:inline distT="0" distB="0" distL="114300" distR="114300">
            <wp:extent cx="3016885" cy="3167380"/>
            <wp:effectExtent l="0" t="0" r="2540" b="444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2754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(3)透视投影</w:t>
      </w:r>
    </w:p>
    <w:p w14:paraId="08F85DE1">
      <w:pPr>
        <w:ind w:firstLine="420" w:firstLineChars="0"/>
      </w:pPr>
      <w:r>
        <w:drawing>
          <wp:inline distT="0" distB="0" distL="114300" distR="114300">
            <wp:extent cx="3411220" cy="3581400"/>
            <wp:effectExtent l="0" t="0" r="8255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20D2">
      <w:pPr>
        <w:ind w:firstLine="420" w:firstLineChars="0"/>
      </w:pPr>
    </w:p>
    <w:p w14:paraId="548C1D32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(4)正交投影</w:t>
      </w:r>
    </w:p>
    <w:p w14:paraId="79D465B4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470275" cy="3643630"/>
            <wp:effectExtent l="0" t="0" r="6350" b="444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441A9"/>
    <w:rsid w:val="21EB0234"/>
    <w:rsid w:val="6594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2025-09-18T13:34:00Z</dcterms:created>
  <dc:creator>沽如醉</dc:creator>
  <cp:lastModifiedBy>沽如醉</cp:lastModifiedBy>
  <dcterms:modified xsi:type="dcterms:W3CDTF">2025-09-18T14:35:26Z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03FA6061E02348C594B4A21CF2A8FC50_11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