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Heading1"/>
      </w:pPr>
      <w:r>
        <w:rPr>
          <w:color w:val="000000"/>
        </w:rPr>
        <w:t xml:space="preserve">РОЗДІЛ 2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Ось проект другого розділу наукової роботи, що базується на наданих рекомендаціях, теоретичному описі та коді симуляції.</w:t>
      </w:r>
    </w:p>
    <w:p>
      <w:pPr>
        <w:pStyle w:val="Heading2"/>
        <w:pStyle w:val="Heading2"/>
      </w:pPr>
      <w:r>
        <w:rPr>
          <w:color w:val="000000"/>
        </w:rPr>
        <w:t xml:space="preserve">РОЗДІЛ 2. ІДЕНТИФІКАЦІЯ ЯДРОВИХ МОДЕЛЕЙ ПРОЦЕСУ ЗБАГАЧЕННЯ ЗАЛІЗНОЇ РУДИ МЕТОДОМ МАГНІТНОЇ СЕПАРАЦІЇ</w:t>
      </w:r>
    </w:p>
    <w:p>
      <w:pPr>
        <w:spacing w:before="240" w:after="240"/>
      </w:pPr>
    </w:p>
    <w:p>
      <w:pPr>
        <w:pStyle w:val="Heading3"/>
        <w:pStyle w:val="Heading3"/>
      </w:pPr>
      <w:r>
        <w:rPr>
          <w:color w:val="000000"/>
        </w:rPr>
        <w:t xml:space="preserve">2.1. Аналітичні дослідження процесу для ідентифікації ядрових моделей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Як було зазначено у попередньому розділі, побудова точної фізико-хімічної моделі процесу збагачення є малореалістичною задачею1. Тому для синтезу системи предиктивного керування було обрано підхід ідентифікації на основі даних (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data-driven identification</w:t>
      </w:r>
      <w:r>
        <w:rPr>
          <w:b w:val="false"/>
          <w:bCs w:val="false"/>
          <w:i w:val="false"/>
          <w:iCs w:val="false"/>
          <w:strike w:val="false"/>
        </w:rPr>
        <w:t xml:space="preserve">)2. Метою є створення непараметричної моделі, здатної апроксимувати складні нелінійні залежності між вхідними та вихідними параметрами процесу, що є ключовою перевагою над лінійними аналогами3333.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Для врахування динамічних властивостей об'єкта, таких як інерційність та транспортні затримки, структура моделі базується на використанні лагованих значень вхідних змінних4444. Це відповідає структурі моделей типу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ARX (AutoRegressive with eXogenous inputs)</w:t>
      </w:r>
      <w:r>
        <w:rPr>
          <w:b w:val="false"/>
          <w:bCs w:val="false"/>
          <w:i w:val="false"/>
          <w:iCs w:val="false"/>
          <w:strike w:val="false"/>
        </w:rPr>
        <w:t xml:space="preserve">, де поточний вихід yt​ залежить не лише від поточних входів ut​, але й від їхніх значень на попередніх кроках часу t−1,…,t−L. Вхідний вектор стану (регресор) xt​ для прогнозної моделі формується наступним чином: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xt​=[ut−LT​,ut−L+1T​,…,utT​]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де uk​=[feed_fek​,ore_flowk​,solid_feedk​]T — вектор вхідних параметрів на кроці k, а L — глибина лагу.</w:t>
      </w:r>
    </w:p>
    <w:p>
      <w:pPr>
        <w:pStyle w:val="Heading3"/>
        <w:pStyle w:val="Heading3"/>
      </w:pPr>
      <w:r>
        <w:rPr>
          <w:color w:val="000000"/>
        </w:rPr>
        <w:t xml:space="preserve">2.2. Розробка комплексної математичної моделі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Для апроксимації нелінійної функції f у співвідношенні yt​=f(xt​) було обрано 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В рамках дослідження було реалізовано та порівняно три варіації ядрових методів у рамках єдиного програмного інтерфейсу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KernelModel</w:t>
      </w:r>
      <w:r>
        <w:rPr>
          <w:b w:val="false"/>
          <w:bCs w:val="false"/>
          <w:i w:val="false"/>
          <w:iCs w:val="false"/>
          <w:strike w:val="false"/>
        </w:rPr>
        <w:t xml:space="preserve">7:</w:t>
      </w:r>
    </w:p>
    <w:p>
      <w:pPr>
        <w:spacing w:before="240" w:after="240"/>
      </w:pP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Kernel Ridge Regression (KRR): Метод мінімізує суму квадратів помилок з додаванням L2-регуляризації для запобігання перенавчанню. Цільова функція має вигляд:</w:t>
      </w:r>
      <w:r>
        <w:rPr>
          <w:b w:val="false"/>
          <w:bCs w:val="false"/>
          <w:i w:val="false"/>
          <w:iCs w:val="false"/>
          <w:strike w:val="false"/>
        </w:rPr>
        <w:t xml:space="preserve">JKRR​=∑i=1n​(yi​−f(xi​))2+λ∣∣w∣∣2</w:t>
      </w:r>
      <w:r>
        <w:rPr>
          <w:b w:val="false"/>
          <w:bCs w:val="false"/>
          <w:i w:val="false"/>
          <w:iCs w:val="false"/>
          <w:strike w:val="false"/>
        </w:rPr>
        <w:t xml:space="preserve">де</w:t>
      </w:r>
      <w:r>
        <w:rPr>
          <w:b w:val="false"/>
          <w:bCs w:val="false"/>
          <w:i w:val="false"/>
          <w:iCs w:val="false"/>
          <w:strike w:val="false"/>
        </w:rPr>
        <w:t xml:space="preserve">λ — коефіцієнт регуляризації. 8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Gaussian Process Regression (GPR):</w:t>
      </w:r>
      <w:r>
        <w:rPr>
          <w:b w:val="false"/>
          <w:bCs w:val="false"/>
          <w:i w:val="false"/>
          <w:iCs w:val="false"/>
          <w:strike w:val="false"/>
        </w:rPr>
        <w:t xml:space="preserve"> Байєсівський підхід, що моделює виходи як реалізацію гауссівського процесу. 9Ключовою перевагою є отримання не лише точкового прогнозу, але й оцінки його</w:t>
      </w:r>
      <w:r>
        <w:rPr>
          <w:b/>
          <w:bCs/>
          <w:i w:val="false"/>
          <w:iCs w:val="false"/>
          <w:strike w:val="false"/>
        </w:rPr>
        <w:t xml:space="preserve">невизначеності (дисперсії)</w:t>
      </w:r>
      <w:r>
        <w:rPr>
          <w:b w:val="false"/>
          <w:bCs w:val="false"/>
          <w:i w:val="false"/>
          <w:iCs w:val="false"/>
          <w:strike w:val="false"/>
        </w:rPr>
        <w:t xml:space="preserve">, що є критично важливим для прийняття рішень10101010.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Support Vector Regression (SVR):</w:t>
      </w:r>
      <w:r>
        <w:rPr>
          <w:b w:val="false"/>
          <w:bCs w:val="false"/>
          <w:i w:val="false"/>
          <w:iCs w:val="false"/>
          <w:strike w:val="false"/>
        </w:rPr>
        <w:t xml:space="preserve"> Метод, стійкий до викидів у даних завдяки використанню ϵ-нечутливої функції втрат, яка ігнорує помилки, менші за поріг ϵ. 11111111 Цільова функція:</w:t>
      </w:r>
      <w:r>
        <w:rPr>
          <w:b w:val="false"/>
          <w:bCs w:val="false"/>
          <w:i w:val="false"/>
          <w:iCs w:val="false"/>
          <w:strike w:val="false"/>
        </w:rPr>
        <w:t xml:space="preserve">JSVR​=21​∣∣w∣∣2+C∑i=1n​max(0,∣yi​−f(xi​)∣−ϵ)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Для забезпечення практичності та підвищення якості моделей реалізовано механізм 
</w:t>
      </w:r>
      <w:r>
        <w:rPr>
          <w:b/>
          <w:bCs/>
          <w:i w:val="false"/>
          <w:iCs w:val="false"/>
          <w:strike w:val="false"/>
        </w:rPr>
        <w:t xml:space="preserve">автоматичного підбору гіперпараметрів</w:t>
      </w:r>
      <w:r>
        <w:rPr>
          <w:b w:val="false"/>
          <w:bCs w:val="false"/>
          <w:i w:val="false"/>
          <w:iCs w:val="false"/>
          <w:strike w:val="false"/>
        </w:rPr>
        <w:t xml:space="preserve"> (λ, γ, C, ϵ) за допомогою методу </w:t>
      </w:r>
      <w:r>
        <w:rPr>
          <w:b w:val="false"/>
          <w:bCs w:val="false"/>
          <w:i w:val="false"/>
          <w:iCs w:val="false"/>
          <w:strike w:val="false"/>
        </w:rPr>
        <w:t xml:space="preserve">RandomizedSearchCV</w:t>
      </w:r>
      <w:r>
        <w:rPr>
          <w:b w:val="false"/>
          <w:bCs w:val="false"/>
          <w:i w:val="false"/>
          <w:iCs w:val="false"/>
          <w:strike w:val="false"/>
        </w:rPr>
        <w:t xml:space="preserve">, що є важливою складовою реалізації </w:t>
      </w:r>
      <w:r>
        <w:rPr>
          <w:b w:val="false"/>
          <w:bCs w:val="false"/>
          <w:i w:val="false"/>
          <w:iCs w:val="false"/>
          <w:strike w:val="false"/>
        </w:rPr>
        <w:t xml:space="preserve">model.py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Heading3"/>
        <w:pStyle w:val="Heading3"/>
      </w:pPr>
      <w:r>
        <w:rPr>
          <w:color w:val="000000"/>
        </w:rPr>
        <w:t xml:space="preserve">2.3. Аналіз впливу параметрів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Кожен з реалізованих методів має свої особливості, що впливають на поведінку системи керування. Порівняльний аналіз, проведений на етапі симуляції, показав наступні відмінності: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KRR</w:t>
      </w:r>
      <w:r>
        <w:rPr>
          <w:b w:val="false"/>
          <w:bCs w:val="false"/>
          <w:i w:val="false"/>
          <w:iCs w:val="false"/>
          <w:strike w:val="false"/>
        </w:rPr>
        <w:t xml:space="preserve"> демонструє швидку та реактивну відповідь на зміни в даних, що може бути перевагою, але іноді призводить до надмірної чутливості до шуму12.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GPR</w:t>
      </w:r>
      <w:r>
        <w:rPr>
          <w:b w:val="false"/>
          <w:bCs w:val="false"/>
          <w:i w:val="false"/>
          <w:iCs w:val="false"/>
          <w:strike w:val="false"/>
        </w:rPr>
        <w:t xml:space="preserve"> забезпечує більш плавне та "стратегічне" керування. Завдяки байєсівській природі він краще враховує загальні тренди, що в реальних умовах може призвести до зменшення зносу обладнання13.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SVR</w:t>
      </w:r>
      <w:r>
        <w:rPr>
          <w:b w:val="false"/>
          <w:bCs w:val="false"/>
          <w:i w:val="false"/>
          <w:iCs w:val="false"/>
          <w:strike w:val="false"/>
        </w:rPr>
        <w:t xml:space="preserve"> показує високу робастність до аномальних викидів у навчальних даних, що робить його привабливим для використання в умовах зашумлених вимірювань.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Вибір конкретного типу моделі та ядра (наприклад, лінійного чи RBF) є компромісом між обчислювальною складністю, точністю та бажаною поведінкою системи керування.</w:t>
      </w:r>
    </w:p>
    <w:p>
      <w:pPr>
        <w:pStyle w:val="Heading3"/>
        <w:pStyle w:val="Heading3"/>
      </w:pPr>
      <w:r>
        <w:rPr>
          <w:color w:val="000000"/>
        </w:rPr>
        <w:t xml:space="preserve">2.4. Апробація моделі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Для валідації якості ідентифікованих моделей було проведено їх тестування на відкладеній вибірці даних, згенерованій симулятором. Важливою деталлю симуляційного стенду є використання моделі 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невідповідність моделі та об'єкта ("plant-model mismatch")</w:t>
      </w:r>
      <w:r>
        <w:rPr>
          <w:b w:val="false"/>
          <w:bCs w:val="false"/>
          <w:i w:val="false"/>
          <w:iCs w:val="false"/>
          <w:strike w:val="false"/>
        </w:rPr>
        <w:t xml:space="preserve">, що дозволяє оцінити робастність системи в умовах, наближених до реальних14141414.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Оцінка проводилася за стандартними метриками якості регресії: середньоквадратичною помилкою (RMSE) та середньою абсолютною помилкою (MAE). Результати апробації показали, що всі три моделі (KRR, GPR, SVR) здатні з високою точністю апроксимувати динаміку процесу, що підтверджує коректність обраного підходу до ідентифікації.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2025-07-03T17:50:50.543Z</dcterms:created>
  <dcterms:modified xsi:type="dcterms:W3CDTF">2025-07-03T17:50:50.543Z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