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一种带表格与公式的示例装置</w:t>
      </w:r>
    </w:p>
    <w:p>
      <w:pPr>
        <w:pStyle w:val="Heading1"/>
      </w:pPr>
      <w:r>
        <w:t>摘要</w:t>
      </w:r>
    </w:p>
    <w:p>
      <w:r>
        <w:rPr>
          <w:rFonts w:ascii="Arial" w:hAnsi="Arial" w:eastAsia="仿宋"/>
          <w:sz w:val="21"/>
        </w:rPr>
        <w:t>本发明公开了一种示例装置，包含参数x</w:t>
      </w:r>
      <w:r>
        <w:rPr>
          <w:rFonts w:ascii="Arial" w:hAnsi="Arial" w:eastAsia="仿宋"/>
          <w:sz w:val="21"/>
          <w:vertAlign w:val="subscript"/>
        </w:rPr>
        <w:t>i</w:t>
      </w:r>
      <w:r>
        <w:rPr>
          <w:rFonts w:ascii="Arial" w:hAnsi="Arial" w:eastAsia="仿宋"/>
          <w:sz w:val="21"/>
        </w:rPr>
        <w:t>与阈值τ。</w:t>
      </w:r>
    </w:p>
    <w:p>
      <w:pPr>
        <w:pStyle w:val="Heading1"/>
      </w:pPr>
      <w:r>
        <w:t>权利要求书</w:t>
      </w:r>
    </w:p>
    <w:p>
      <w:r>
        <w:rPr>
          <w:rFonts w:ascii="Arial" w:hAnsi="Arial" w:eastAsia="仿宋"/>
          <w:sz w:val="21"/>
        </w:rPr>
        <w:t>1.一种示例装置，其特征在于，包括处理器与存储器；</w:t>
      </w:r>
    </w:p>
    <w:p>
      <w:r>
        <w:rPr>
          <w:rFonts w:ascii="Arial" w:hAnsi="Arial" w:eastAsia="仿宋"/>
          <w:sz w:val="21"/>
        </w:rPr>
        <w:t>所述处理器配置为执行步骤A。</w:t>
      </w:r>
    </w:p>
    <w:p>
      <w:r>
        <w:rPr>
          <w:rFonts w:ascii="Arial" w:hAnsi="Arial" w:eastAsia="仿宋"/>
          <w:sz w:val="21"/>
        </w:rPr>
        <w:t>2.根据权利要求1所述的示例装置，其特征在于，还包括显示器。</w:t>
      </w:r>
    </w:p>
    <w:p>
      <w:pPr>
        <w:pStyle w:val="Heading1"/>
      </w:pPr>
      <w:r>
        <w:t>说明书</w:t>
      </w:r>
    </w:p>
    <w:p>
      <w:pPr>
        <w:pStyle w:val="Heading2"/>
      </w:pPr>
      <w:r>
        <w:t>技术领域</w:t>
      </w:r>
    </w:p>
    <w:p>
      <w:r>
        <w:rPr>
          <w:rFonts w:ascii="Arial" w:hAnsi="Arial" w:eastAsia="仿宋"/>
          <w:sz w:val="21"/>
        </w:rPr>
        <w:t>[0001]　本发明涉及数据处理技术领域，标识符 tsf_guard 保持字面。</w:t>
      </w:r>
    </w:p>
    <w:p>
      <w:pPr>
        <w:pStyle w:val="Heading2"/>
      </w:pPr>
      <w:r>
        <w:t>具体实施方式</w:t>
      </w:r>
    </w:p>
    <w:p>
      <w:pPr>
        <w:pStyle w:val="Heading3"/>
      </w:pPr>
      <w:r>
        <w:t>实施例一</w:t>
      </w:r>
    </w:p>
    <w:p>
      <w:r>
        <w:rPr>
          <w:rFonts w:ascii="Arial" w:hAnsi="Arial" w:eastAsia="仿宋"/>
          <w:sz w:val="21"/>
        </w:rPr>
        <w:t xml:space="preserve">[0002]　行内公式 </w:t>
      </w:r>
      <m:oMath xmlns:mml="http://www.w3.org/1998/Math/MathML">
        <m:sSub>
          <m:e>
            <m:r>
              <w:rPr>
                <w:rFonts w:ascii="Cambria Math" w:hAnsi="Cambria Math" w:eastAsia="宋体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eastAsia="宋体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eastAsia="宋体"/>
            <w:sz w:val="24"/>
            <w:szCs w:val="24"/>
          </w:rPr>
          <m:t>=</m:t>
        </m:r>
        <m:sSubSup>
          <m:e>
            <m:r>
              <w:rPr>
                <w:rFonts w:ascii="Cambria Math" w:hAnsi="Cambria Math" w:eastAsia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eastAsia="宋体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eastAsia="宋体"/>
                <w:sz w:val="24"/>
                <w:szCs w:val="24"/>
              </w:rPr>
              <m:t>2</m:t>
            </m:r>
          </m:sup>
        </m:sSubSup>
      </m:oMath>
      <w:r>
        <w:rPr>
          <w:rFonts w:ascii="Arial" w:hAnsi="Arial" w:eastAsia="仿宋"/>
          <w:sz w:val="21"/>
        </w:rPr>
        <w:t xml:space="preserve"> 与上标 </w:t>
      </w:r>
      <m:oMath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rPr>
          <w:rFonts w:ascii="Arial" w:hAnsi="Arial" w:eastAsia="仿宋"/>
          <w:sz w:val="21"/>
        </w:rPr>
        <w:t xml:space="preserve"> 之后的文字</w:t>
      </w:r>
    </w:p>
    <w:p>
      <w:r>
        <w:rPr>
          <w:rFonts w:ascii="Arial" w:hAnsi="Arial" w:eastAsia="仿宋"/>
          <w:sz w:val="21"/>
        </w:rPr>
        <w:t>[0003]　带脚注的句子</w:t>
      </w:r>
      <w:r>
        <w:rPr>
          <w:rFonts w:ascii="Arial" w:hAnsi="Arial" w:eastAsia="仿宋"/>
          <w:sz w:val="21"/>
        </w:rPr>
        <w:footnoteReference w:id="1"/>
      </w:r>
      <w:r>
        <w:rPr>
          <w:rFonts w:ascii="Arial" w:hAnsi="Arial" w:eastAsia="仿宋"/>
          <w:sz w:val="21"/>
        </w:rPr>
        <w:pict>
          <v:shape>
            <v:textbox>
              <w:txbxContent>
                <w:p>
                  <w:r>
                    <w:t>文本框内容</w:t>
                  </w:r>
                </w:p>
              </w:txbxContent>
            </v:textbox>
          </v:shape>
        </w:pict>
      </w:r>
      <w:fldSimple w:instr=" PAGE ">
        <w:r>
          <w:t>3</w:t>
        </w:r>
      </w:fldSimple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m:oMath xmlns:mml="http://www.w3.org/1998/Math/MathML">
              <m:r>
                <w:rPr>
                  <w:rFonts w:ascii="Cambria Math" w:hAnsi="Cambria Math" w:eastAsia="宋体"/>
                  <w:sz w:val="24"/>
                  <w:szCs w:val="24"/>
                </w:rPr>
                <m:t>E=</m:t>
              </m:r>
              <m:sSub>
                <m:e>
                  <m:r>
                    <w:rPr>
                      <w:rFonts w:ascii="Cambria Math" w:hAnsi="Cambria Math" w:eastAsia="宋体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eastAsia="宋体"/>
                      <w:sz w:val="24"/>
                      <w:szCs w:val="24"/>
                    </w:rPr>
                    <m:t>i∈S</m:t>
                  </m:r>
                </m:sub>
              </m:sSub>
              <m:r>
                <w:rPr>
                  <w:rFonts w:ascii="Cambria Math" w:hAnsi="Cambria Math" w:eastAsia="宋体"/>
                  <w:sz w:val="24"/>
                  <w:szCs w:val="24"/>
                </w:rPr>
                <m:t>(</m:t>
              </m:r>
              <m:sSub>
                <m:e>
                  <m:r>
                    <w:rPr>
                      <w:rFonts w:ascii="Cambria Math" w:hAnsi="Cambria Math" w:eastAsia="宋体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宋体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eastAsia="宋体"/>
                  <w:sz w:val="24"/>
                  <w:szCs w:val="24"/>
                </w:rPr>
                <m:t>−μ)/n</m:t>
              </m:r>
            </m:oMath>
          </w:p>
        </w:tc>
        <w:tc>
          <w:tcPr>
            <w:tcW w:type="dxa" w:w="2880"/>
          </w:tcPr>
          <w:p>
            <w:r>
              <w:t>（1）</w:t>
            </w:r>
          </w:p>
        </w:tc>
      </w:tr>
    </w:tbl>
    <w:p>
      <w:r>
        <w:rPr>
          <w:rFonts w:ascii="Arial" w:hAnsi="Arial" w:eastAsia="仿宋"/>
          <w:sz w:val="21"/>
        </w:rPr>
        <w:t>[0004]　表1给出了参数。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分组</w:t>
            </w:r>
          </w:p>
        </w:tc>
        <w:tc>
          <w:tcPr>
            <w:tcW w:type="dxa" w:w="5760"/>
            <w:gridSpan w:val="2"/>
          </w:tcPr>
          <w:p>
            <w:r>
              <w:t>指标</w:t>
            </w:r>
          </w:p>
        </w:tc>
      </w:tr>
      <w:tr>
        <w:tc>
          <w:tcPr>
            <w:tcW w:type="dxa" w:w="2880"/>
            <w:vMerge w:val="restart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>
      <w:pPr>
        <w:pStyle w:val="Heading1"/>
      </w:pPr>
      <w:r>
        <w:t>说明书附图</w:t>
      </w:r>
    </w:p>
    <w:p>
      <w:pPr>
        <w:jc w:val="center"/>
      </w:pPr>
      <w:r>
        <w:rPr>
          <w:rFonts w:ascii="Arial" w:hAnsi="Arial" w:eastAsia="仿宋"/>
          <w:sz w:val="21"/>
        </w:rP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仿宋"/>
          <w:sz w:val="21"/>
        </w:rPr>
        <w:t>图1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