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02"/>
        <w:gridCol w:w="4802"/>
      </w:tblGrid>
      <w:tr>
        <w:tc>
          <w:tcPr>
            <w:tcW w:type="dxa" w:w="6048"/>
          </w:tcPr>
          <w:p>
            <w:r>
              <w:drawing>
                <wp:inline xmlns:a="http://schemas.openxmlformats.org/drawingml/2006/main" xmlns:pic="http://schemas.openxmlformats.org/drawingml/2006/picture">
                  <wp:extent cx="2286000" cy="669727"/>
                  <wp:docPr id="1" name="Picture 1"/>
                  <wp:cNvGraphicFramePr>
                    <a:graphicFrameLocks noChangeAspect="1"/>
                  </wp:cNvGraphicFramePr>
                  <a:graphic>
                    <a:graphicData uri="http://schemas.openxmlformats.org/drawingml/2006/picture">
                      <pic:pic>
                        <pic:nvPicPr>
                          <pic:cNvPr id="0" name="wooplix_main_logo.png"/>
                          <pic:cNvPicPr/>
                        </pic:nvPicPr>
                        <pic:blipFill>
                          <a:blip r:embed="rId9"/>
                          <a:stretch>
                            <a:fillRect/>
                          </a:stretch>
                        </pic:blipFill>
                        <pic:spPr>
                          <a:xfrm>
                            <a:off x="0" y="0"/>
                            <a:ext cx="2286000" cy="669727"/>
                          </a:xfrm>
                          <a:prstGeom prst="rect"/>
                        </pic:spPr>
                      </pic:pic>
                    </a:graphicData>
                  </a:graphic>
                </wp:inline>
              </w:drawing>
            </w:r>
          </w:p>
        </w:tc>
        <w:tc>
          <w:tcPr>
            <w:tcW w:type="dxa" w:w="3557"/>
          </w:tcPr>
          <w:p>
            <w:pPr>
              <w:jc w:val="right"/>
            </w:pPr>
            <w:r>
              <w:drawing>
                <wp:inline xmlns:a="http://schemas.openxmlformats.org/drawingml/2006/main" xmlns:pic="http://schemas.openxmlformats.org/drawingml/2006/picture">
                  <wp:extent cx="1645920" cy="179294"/>
                  <wp:docPr id="2" name="Picture 2"/>
                  <wp:cNvGraphicFramePr>
                    <a:graphicFrameLocks noChangeAspect="1"/>
                  </wp:cNvGraphicFramePr>
                  <a:graphic>
                    <a:graphicData uri="http://schemas.openxmlformats.org/drawingml/2006/picture">
                      <pic:pic>
                        <pic:nvPicPr>
                          <pic:cNvPr id="0" name="wooplix_partner_badge.png"/>
                          <pic:cNvPicPr/>
                        </pic:nvPicPr>
                        <pic:blipFill>
                          <a:blip r:embed="rId10"/>
                          <a:stretch>
                            <a:fillRect/>
                          </a:stretch>
                        </pic:blipFill>
                        <pic:spPr>
                          <a:xfrm>
                            <a:off x="0" y="0"/>
                            <a:ext cx="1645920" cy="179294"/>
                          </a:xfrm>
                          <a:prstGeom prst="rect"/>
                        </pic:spPr>
                      </pic:pic>
                    </a:graphicData>
                  </a:graphic>
                </wp:inline>
              </w:drawing>
            </w:r>
          </w:p>
        </w:tc>
      </w:tr>
    </w:tbl>
    <w:p>
      <w:pPr>
        <w:spacing w:after="240"/>
      </w:pPr>
    </w:p>
    <w:p>
      <w:pPr>
        <w:spacing w:after="40"/>
      </w:pPr>
      <w:r>
        <w:rPr>
          <w:rFonts w:ascii="Calibri" w:hAnsi="Calibri"/>
          <w:b/>
          <w:color w:val="1A365D"/>
          <w:sz w:val="44"/>
        </w:rPr>
        <w:t>Wooplix Zoho System Audit Agent</w:t>
      </w:r>
    </w:p>
    <w:p>
      <w:pPr>
        <w:spacing w:after="280"/>
      </w:pPr>
      <w:r>
        <w:rPr>
          <w:rFonts w:ascii="Calibri" w:hAnsi="Calibri"/>
          <w:b/>
          <w:color w:val="008080"/>
          <w:sz w:val="26"/>
        </w:rPr>
        <w:t>System Architecture Report &amp; Operational User Guide</w:t>
      </w:r>
    </w:p>
    <w:tbl>
      <w:tblPr>
        <w:tblW w:type="auto" w:w="0"/>
        <w:jc w:val="center"/>
        <w:tblLook w:firstColumn="1" w:firstRow="1" w:lastColumn="0" w:lastRow="0" w:noHBand="0" w:noVBand="1" w:val="04A0"/>
        <w:tblCellMar>
          <w:top w:w="100" w:type="dxa"/>
          <w:bottom w:w="100" w:type="dxa"/>
          <w:left w:w="140" w:type="dxa"/>
          <w:right w:w="140" w:type="dxa"/>
        </w:tblCellMa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802"/>
        <w:gridCol w:w="4802"/>
      </w:tblGrid>
      <w:tr>
        <w:trPr>
          <w:tblHeader/>
          <w:cantSplit/>
        </w:trPr>
        <w:tc>
          <w:tcPr>
            <w:tcW w:type="dxa" w:w="3168"/>
            <w:shd w:fill="1a365d"/>
          </w:tcPr>
          <w:p>
            <w:pPr>
              <w:spacing w:before="80" w:after="80"/>
            </w:pPr>
            <w:r>
              <w:rPr>
                <w:rFonts w:ascii="Calibri" w:hAnsi="Calibri"/>
                <w:b/>
                <w:color w:val="FFFFFF"/>
                <w:sz w:val="18"/>
              </w:rPr>
              <w:t>Specification Attribute</w:t>
            </w:r>
          </w:p>
        </w:tc>
        <w:tc>
          <w:tcPr>
            <w:tcW w:type="dxa" w:w="6437"/>
            <w:shd w:fill="1a365d"/>
          </w:tcPr>
          <w:p>
            <w:pPr>
              <w:spacing w:before="80" w:after="80"/>
            </w:pPr>
            <w:r>
              <w:rPr>
                <w:rFonts w:ascii="Calibri" w:hAnsi="Calibri"/>
                <w:b/>
                <w:color w:val="FFFFFF"/>
                <w:sz w:val="18"/>
              </w:rPr>
              <w:t>System Metadata</w:t>
            </w:r>
          </w:p>
        </w:tc>
      </w:tr>
      <w:tr>
        <w:trPr>
          <w:cantSplit/>
        </w:trPr>
        <w:tc>
          <w:tcPr>
            <w:tcW w:type="dxa" w:w="3168"/>
          </w:tcPr>
          <w:p>
            <w:pPr>
              <w:spacing w:before="60" w:after="60"/>
            </w:pPr>
            <w:r>
              <w:rPr>
                <w:rFonts w:ascii="Calibri" w:hAnsi="Calibri"/>
                <w:b/>
                <w:color w:val="0F172A"/>
                <w:sz w:val="17"/>
              </w:rPr>
              <w:t>Target Platform</w:t>
            </w:r>
          </w:p>
        </w:tc>
        <w:tc>
          <w:tcPr>
            <w:tcW w:type="dxa" w:w="6437"/>
          </w:tcPr>
          <w:p>
            <w:pPr>
              <w:spacing w:before="60" w:after="60"/>
            </w:pPr>
            <w:r>
              <w:rPr>
                <w:rFonts w:ascii="Calibri" w:hAnsi="Calibri"/>
                <w:color w:val="0F172A"/>
                <w:sz w:val="17"/>
              </w:rPr>
              <w:t>Zoho Cloud Ecosystem (CRM, Desk, Books, Inventory, Projects, WorkDrive, Flow, Analytics)</w:t>
            </w:r>
          </w:p>
        </w:tc>
      </w:tr>
      <w:tr>
        <w:trPr>
          <w:cantSplit/>
        </w:trPr>
        <w:tc>
          <w:tcPr>
            <w:tcW w:type="dxa" w:w="3168"/>
            <w:shd w:fill="f8fafc"/>
          </w:tcPr>
          <w:p>
            <w:pPr>
              <w:spacing w:before="60" w:after="60"/>
            </w:pPr>
            <w:r>
              <w:rPr>
                <w:rFonts w:ascii="Calibri" w:hAnsi="Calibri"/>
                <w:b/>
                <w:color w:val="0F172A"/>
                <w:sz w:val="17"/>
              </w:rPr>
              <w:t>Lead Systems Auditor</w:t>
            </w:r>
          </w:p>
        </w:tc>
        <w:tc>
          <w:tcPr>
            <w:tcW w:type="dxa" w:w="6437"/>
            <w:shd w:fill="f8fafc"/>
          </w:tcPr>
          <w:p>
            <w:pPr>
              <w:spacing w:before="60" w:after="60"/>
            </w:pPr>
            <w:r>
              <w:rPr>
                <w:rFonts w:ascii="Calibri" w:hAnsi="Calibri"/>
                <w:color w:val="0F172A"/>
                <w:sz w:val="17"/>
              </w:rPr>
              <w:t>Rahul (Zoho Certified Lead)</w:t>
            </w:r>
          </w:p>
        </w:tc>
      </w:tr>
      <w:tr>
        <w:trPr>
          <w:cantSplit/>
        </w:trPr>
        <w:tc>
          <w:tcPr>
            <w:tcW w:type="dxa" w:w="3168"/>
          </w:tcPr>
          <w:p>
            <w:pPr>
              <w:spacing w:before="60" w:after="60"/>
            </w:pPr>
            <w:r>
              <w:rPr>
                <w:rFonts w:ascii="Calibri" w:hAnsi="Calibri"/>
                <w:b/>
                <w:color w:val="0F172A"/>
                <w:sz w:val="17"/>
              </w:rPr>
              <w:t>Certified Partner</w:t>
            </w:r>
          </w:p>
        </w:tc>
        <w:tc>
          <w:tcPr>
            <w:tcW w:type="dxa" w:w="6437"/>
          </w:tcPr>
          <w:p>
            <w:pPr>
              <w:spacing w:before="60" w:after="60"/>
            </w:pPr>
            <w:r>
              <w:rPr>
                <w:rFonts w:ascii="Calibri" w:hAnsi="Calibri"/>
                <w:color w:val="0F172A"/>
                <w:sz w:val="17"/>
              </w:rPr>
              <w:t>Wooplix Technologies Private Limited (Authorized Zoho Partner)</w:t>
            </w:r>
          </w:p>
        </w:tc>
      </w:tr>
      <w:tr>
        <w:trPr>
          <w:cantSplit/>
        </w:trPr>
        <w:tc>
          <w:tcPr>
            <w:tcW w:type="dxa" w:w="3168"/>
            <w:shd w:fill="f8fafc"/>
          </w:tcPr>
          <w:p>
            <w:pPr>
              <w:spacing w:before="60" w:after="60"/>
            </w:pPr>
            <w:r>
              <w:rPr>
                <w:rFonts w:ascii="Calibri" w:hAnsi="Calibri"/>
                <w:b/>
                <w:color w:val="0F172A"/>
                <w:sz w:val="17"/>
              </w:rPr>
              <w:t>Core Diagnostic Engine</w:t>
            </w:r>
          </w:p>
        </w:tc>
        <w:tc>
          <w:tcPr>
            <w:tcW w:type="dxa" w:w="6437"/>
            <w:shd w:fill="f8fafc"/>
          </w:tcPr>
          <w:p>
            <w:pPr>
              <w:spacing w:before="60" w:after="60"/>
            </w:pPr>
            <w:r>
              <w:rPr>
                <w:rFonts w:ascii="Calibri" w:hAnsi="Calibri"/>
                <w:color w:val="0F172A"/>
                <w:sz w:val="17"/>
              </w:rPr>
              <w:t>Python 3.11+ / FastAPI / Groq LLM (openai/gpt-oss-20b &amp; 120b fallback)</w:t>
            </w:r>
          </w:p>
        </w:tc>
      </w:tr>
      <w:tr>
        <w:trPr>
          <w:cantSplit/>
        </w:trPr>
        <w:tc>
          <w:tcPr>
            <w:tcW w:type="dxa" w:w="3168"/>
          </w:tcPr>
          <w:p>
            <w:pPr>
              <w:spacing w:before="60" w:after="60"/>
            </w:pPr>
            <w:r>
              <w:rPr>
                <w:rFonts w:ascii="Calibri" w:hAnsi="Calibri"/>
                <w:b/>
                <w:color w:val="0F172A"/>
                <w:sz w:val="17"/>
              </w:rPr>
              <w:t>Document Classification</w:t>
            </w:r>
          </w:p>
        </w:tc>
        <w:tc>
          <w:tcPr>
            <w:tcW w:type="dxa" w:w="6437"/>
          </w:tcPr>
          <w:p>
            <w:pPr>
              <w:spacing w:before="60" w:after="60"/>
            </w:pPr>
            <w:r>
              <w:rPr>
                <w:rFonts w:ascii="Calibri" w:hAnsi="Calibri"/>
                <w:color w:val="0F172A"/>
                <w:sz w:val="17"/>
              </w:rPr>
              <w:t>Proprietary Technical Architecture &amp; Operational Guide</w:t>
            </w:r>
          </w:p>
        </w:tc>
      </w:tr>
      <w:tr>
        <w:trPr>
          <w:cantSplit/>
        </w:trPr>
        <w:tc>
          <w:tcPr>
            <w:tcW w:type="dxa" w:w="3168"/>
            <w:shd w:fill="f8fafc"/>
          </w:tcPr>
          <w:p>
            <w:pPr>
              <w:spacing w:before="60" w:after="60"/>
            </w:pPr>
            <w:r>
              <w:rPr>
                <w:rFonts w:ascii="Calibri" w:hAnsi="Calibri"/>
                <w:b/>
                <w:color w:val="0F172A"/>
                <w:sz w:val="17"/>
              </w:rPr>
              <w:t>Deliverables Generated</w:t>
            </w:r>
          </w:p>
        </w:tc>
        <w:tc>
          <w:tcPr>
            <w:tcW w:type="dxa" w:w="6437"/>
            <w:shd w:fill="f8fafc"/>
          </w:tcPr>
          <w:p>
            <w:pPr>
              <w:spacing w:before="60" w:after="60"/>
            </w:pPr>
            <w:r>
              <w:rPr>
                <w:rFonts w:ascii="Calibri" w:hAnsi="Calibri"/>
                <w:color w:val="0F172A"/>
                <w:sz w:val="17"/>
              </w:rPr>
              <w:t>Executive Vector PDF (Dompdf), Editable Word (.docx), Audit JSON, Raw Telemetry JSON</w:t>
            </w:r>
          </w:p>
        </w:tc>
      </w:tr>
      <w:tr>
        <w:trPr>
          <w:cantSplit/>
        </w:trPr>
        <w:tc>
          <w:tcPr>
            <w:tcW w:type="dxa" w:w="3168"/>
          </w:tcPr>
          <w:p>
            <w:pPr>
              <w:spacing w:before="60" w:after="60"/>
            </w:pPr>
            <w:r>
              <w:rPr>
                <w:rFonts w:ascii="Calibri" w:hAnsi="Calibri"/>
                <w:b/>
                <w:color w:val="0F172A"/>
                <w:sz w:val="17"/>
              </w:rPr>
              <w:t>Live Deployment Link</w:t>
            </w:r>
          </w:p>
        </w:tc>
        <w:tc>
          <w:tcPr>
            <w:tcW w:type="dxa" w:w="6437"/>
          </w:tcPr>
          <w:p>
            <w:pPr>
              <w:spacing w:before="60" w:after="60"/>
            </w:pPr>
            <w:r>
              <w:rPr>
                <w:rFonts w:ascii="Calibri" w:hAnsi="Calibri"/>
                <w:color w:val="0F172A"/>
                <w:sz w:val="17"/>
              </w:rPr>
              <w:t>https://audit-report-zoho.vercel.app / http://127.0.0.1:8000</w:t>
            </w:r>
          </w:p>
        </w:tc>
      </w:tr>
      <w:tr>
        <w:trPr>
          <w:cantSplit/>
        </w:trPr>
        <w:tc>
          <w:tcPr>
            <w:tcW w:type="dxa" w:w="3168"/>
            <w:shd w:fill="f8fafc"/>
          </w:tcPr>
          <w:p>
            <w:pPr>
              <w:spacing w:before="60" w:after="60"/>
            </w:pPr>
            <w:r>
              <w:rPr>
                <w:rFonts w:ascii="Calibri" w:hAnsi="Calibri"/>
                <w:b/>
                <w:color w:val="0F172A"/>
                <w:sz w:val="17"/>
              </w:rPr>
              <w:t>Source Code Repository</w:t>
            </w:r>
          </w:p>
        </w:tc>
        <w:tc>
          <w:tcPr>
            <w:tcW w:type="dxa" w:w="6437"/>
            <w:shd w:fill="f8fafc"/>
          </w:tcPr>
          <w:p>
            <w:pPr>
              <w:spacing w:before="60" w:after="60"/>
            </w:pPr>
            <w:r>
              <w:rPr>
                <w:rFonts w:ascii="Calibri" w:hAnsi="Calibri"/>
                <w:color w:val="0F172A"/>
                <w:sz w:val="17"/>
              </w:rPr>
              <w:t>https://github.com/wooplix15-debug/audit-report-zoho.git (Branch: main)</w:t>
            </w:r>
          </w:p>
        </w:tc>
      </w:tr>
    </w:tbl>
    <w:p>
      <w:pPr>
        <w:spacing w:after="280"/>
      </w:pPr>
    </w:p>
    <w:p>
      <w:r>
        <w:rPr>
          <w:b/>
          <w:color w:val="1A365D"/>
          <w:sz w:val="28"/>
        </w:rPr>
        <w:t>1. Executive Overview &amp; User Guide</w:t>
      </w:r>
    </w:p>
    <w:p>
      <w:r>
        <w:t>The Wooplix Zoho System Audit Agent is an enterprise diagnostic platform built for Wooplix Technologies to inspect, evaluate, score, and remediate client Zoho Cloud environments. It replaces manual consultant discovery sessions with automated non-intrusive API telemetry sampling, high-speed LLM reasoning, mathematically reproducible scoring, and instant branded executive deliverables.</w:t>
      </w:r>
    </w:p>
    <w:p>
      <w:r>
        <w:rPr>
          <w:b/>
          <w:color w:val="008080"/>
          <w:sz w:val="22"/>
        </w:rPr>
        <w:t>What It Gives You (Complete Deliverable Bundle)</w:t>
      </w:r>
    </w:p>
    <w:p>
      <w:r>
        <w:t>Every audit execution produces a unified 4-artifact deliverable package packaged in a single 1-click ZIP download:</w:t>
        <w:br/>
        <w:t>• High-Resolution Vector PDF (.pdf): Formatted via serverless Dompdf with repeating headers, executive scorecards, severity badges, and zero orphaned tables.</w:t>
        <w:br/>
        <w:t>• Native Microsoft Word Document (.docx): Fully styled with Wooplix brand palettes, preserving editable tables, headings, and implementation milestones for account managers.</w:t>
        <w:br/>
        <w:t>• Structured Audit Deliverable JSON: Standardized diagnostic findings, severity levels, root causes, and phased remediation timelines for CRM integration.</w:t>
        <w:br/>
        <w:t>• Raw Telemetry JSON: Complete verifiable API telemetry payloads capturing exact deal/lead IDs, field configurations, and timestamps for audit transparency.</w:t>
      </w:r>
    </w:p>
    <w:tbl>
      <w:tblPr>
        <w:tblW w:type="auto" w:w="0"/>
        <w:jc w:val="center"/>
        <w:tblLook w:firstColumn="1" w:firstRow="1" w:lastColumn="0" w:lastRow="0" w:noHBand="0" w:noVBand="1" w:val="04A0"/>
      </w:tblPr>
      <w:tblGrid>
        <w:gridCol w:w="9605"/>
      </w:tblGrid>
      <w:tr>
        <w:tc>
          <w:tcPr>
            <w:tcW w:type="dxa" w:w="9605"/>
            <w:shd w:fill="f8fafc"/>
            <w:tcBorders>
              <w:top w:val="none"/>
              <w:bottom w:val="none"/>
              <w:left w:val="single" w:sz="24" w:color="1a365d"/>
              <w:right w:val="none"/>
            </w:tcBorders>
          </w:tcPr>
          <w:p>
            <w:pPr>
              <w:spacing w:before="80" w:after="80"/>
              <w:ind w:left="144"/>
            </w:pPr>
            <w:r>
              <w:rPr>
                <w:b/>
                <w:color w:val="1A365D"/>
                <w:sz w:val="19"/>
              </w:rPr>
              <w:t>How to Use the Portal (Step-by-Step)</w:t>
              <w:br/>
            </w:r>
            <w:r>
              <w:rPr>
                <w:color w:val="0F172A"/>
                <w:sz w:val="17"/>
              </w:rPr>
              <w:t>1. Open the Intake Portal in your browser (local: http://127.0.0.1:8000 or production Vercel URL).</w:t>
              <w:br/>
              <w:t>2. Copy the Full-Access Ecosystem Scopes preset from the portal interface.</w:t>
              <w:br/>
              <w:t>3. In Zoho API Console (Self Client), generate a 10-minute code or provide persistent client credentials.</w:t>
              <w:br/>
              <w:t>4. Enter the Client ID, Client Secret, and Token (or click 'Load sample credentials' for instant testing).</w:t>
              <w:br/>
              <w:t>5. Select deliverable format (PDF Report, Word .docx, or Complete ZIP Package) and click 'Generate Audit Report'.</w:t>
              <w:br/>
              <w:t>6. Monitor the 4-step real-time execution pipeline and download the completed deliverable package.</w:t>
            </w:r>
          </w:p>
        </w:tc>
      </w:tr>
    </w:tbl>
    <w:p>
      <w:pPr>
        <w:spacing w:after="280"/>
      </w:pPr>
    </w:p>
    <w:p>
      <w:r>
        <w:rPr>
          <w:b/>
          <w:color w:val="1A365D"/>
          <w:sz w:val="28"/>
        </w:rPr>
        <w:t>2. System Architecture &amp; Comparative Workflow</w:t>
      </w:r>
    </w:p>
    <w:p>
      <w:r>
        <w:t>Before this Engine: A senior Zoho solutions consultant spends 6 to 12 hours manually logging into client accounts, inspecting dozens of settings screens, copying sample record IDs, calculating pipeline stagnation on offline spreadsheets, and manually formatting Word/PDF audit reports.</w:t>
        <w:br/>
        <w:br/>
        <w:t>With this Engine: In under 15 seconds, the system queries the live Zoho REST API across all connected applications, computes a mathematically reproducible health score, evaluates security and pipeline rot via Groq LLM, and emits an authoritative, client-ready deliverable package with zero manual formatting.</w:t>
      </w:r>
    </w:p>
    <w:p>
      <w:pPr>
        <w:spacing w:before="120" w:after="120"/>
      </w:pPr>
      <w:r>
        <w:rPr>
          <w:rFonts w:ascii="Courier New" w:hAnsi="Courier New"/>
          <w:color w:val="1A365D"/>
          <w:sz w:val="15"/>
        </w:rPr>
        <w:t>+-----------------------------------------------------------------------------------+</w:t>
        <w:br/>
        <w:t>|                           1. CLIENT INTAKE &amp; INGESTION                            |</w:t>
        <w:br/>
        <w:t>|  • User inputs OAuth credentials or triggers enriched sample diagnostic baseline  |</w:t>
        <w:br/>
        <w:t>|  • FastAPI endpoint validates inputs, sanitizes tokens, and detects data center   |</w:t>
        <w:br/>
        <w:t>+-----------------------------------------------------------------------------------+</w:t>
        <w:br/>
        <w:t xml:space="preserve">                                          |</w:t>
        <w:br/>
        <w:t xml:space="preserve">                                          v</w:t>
        <w:br/>
        <w:t>+-----------------------------------------------------------------------------------+</w:t>
        <w:br/>
        <w:t>|                     2. DYNAMIC FULL-ECOSYSTEM DISCOVERY PROBE                     |</w:t>
        <w:br/>
        <w:t>|  • discover_environment() queries Zoho CRM, Desk, Books, Inventory, Projects, etc.|</w:t>
        <w:br/>
        <w:t>|  • Auto-detects organization profile, primary email, and all active tenant tools  |</w:t>
        <w:br/>
        <w:t>+-----------------------------------------------------------------------------------+</w:t>
        <w:br/>
        <w:t xml:space="preserve">                                          |</w:t>
        <w:br/>
        <w:t xml:space="preserve">                                          v</w:t>
        <w:br/>
        <w:t>+-----------------------------------------------------------------------------------+</w:t>
        <w:br/>
        <w:t>|                         3. READ-ONLY TELEMETRY SAMPLING                           |</w:t>
        <w:br/>
        <w:t>|  • Collects live pipelines, lead hygiene, SLA policies, receivables, and sync state|</w:t>
        <w:br/>
        <w:t>|  • Disaggregates lead statuses (Null, Draft, None, Active) and logs sample record |</w:t>
        <w:br/>
        <w:t>+-----------------------------------------------------------------------------------+</w:t>
        <w:br/>
        <w:t xml:space="preserve">                                          |</w:t>
        <w:br/>
        <w:t xml:space="preserve">                                          v</w:t>
        <w:br/>
        <w:t>+-----------------------------------------------------------------------------------+</w:t>
        <w:br/>
        <w:t>|                    4. MATHEMATICAL SCORING &amp; REASONING ENGINE                     |</w:t>
        <w:br/>
        <w:t>|  • compute_system_health_scores() calculates weighted score across verified tools |</w:t>
        <w:br/>
        <w:t>|  • Inaccessible apps marked 'NOT ASSESSED' (weight 0%) to prevent false negatives |</w:t>
        <w:br/>
        <w:t>|  • Groq LLM (gpt-oss-20b/120b) executes diagnostic audit under Wooplix House Style|</w:t>
        <w:br/>
        <w:t>+-----------------------------------------------------------------------------------+</w:t>
        <w:br/>
        <w:t xml:space="preserve">                                          |</w:t>
        <w:br/>
        <w:t xml:space="preserve">       +----------------------------------+----------------------------------+</w:t>
        <w:br/>
        <w:t xml:space="preserve">       |                                  |                                  |</w:t>
        <w:br/>
        <w:t xml:space="preserve">       v                                  v                                  v</w:t>
        <w:br/>
        <w:t>+--------------------+         +--------------------+         +--------------------+</w:t>
        <w:br/>
        <w:t>|   A. Client PDF    |         | B. Editable Word   |         | C. Deliverable JSON|</w:t>
        <w:br/>
        <w:t>| • Dompdf Engine    |         | • python-docx      |         | • Standard Schema  |</w:t>
        <w:br/>
        <w:t>| • Repeating Heads  |         | • Native .docx     |         | • Raw Telemetry    |</w:t>
        <w:br/>
        <w:t>+--------------------+         +--------------------+         +--------------------+</w:t>
        <w:br/>
        <w:t xml:space="preserve">       |                                  |                                  |</w:t>
        <w:br/>
        <w:t xml:space="preserve">       +----------------------------------+----------------------------------+</w:t>
        <w:br/>
        <w:t xml:space="preserve">                                          |</w:t>
        <w:br/>
        <w:t xml:space="preserve">                                          v</w:t>
        <w:br/>
        <w:t>+-----------------------------------------------------------------------------------+</w:t>
        <w:br/>
        <w:t>|                          5. PACKAGING &amp; STREAMING OUTPUT                          |</w:t>
        <w:br/>
        <w:t>|  • Bundles PDF + DOCX + Report JSON + Raw Telemetry JSON into 1-click ZIP archive |</w:t>
        <w:br/>
        <w:t>|  • Streams directly to browser with custom telemetry headers and provenance data  |</w:t>
        <w:br/>
        <w:t>+-----------------------------------------------------------------------------------+</w:t>
      </w:r>
    </w:p>
    <w:p>
      <w:pPr>
        <w:spacing w:after="280"/>
      </w:pPr>
    </w:p>
    <w:p>
      <w:r>
        <w:rPr>
          <w:b/>
          <w:color w:val="1A365D"/>
          <w:sz w:val="28"/>
        </w:rPr>
        <w:t>3. Technology Stack &amp; Component Responsibilities</w:t>
      </w:r>
    </w:p>
    <w:tbl>
      <w:tblPr>
        <w:tblW w:type="auto" w:w="0"/>
        <w:jc w:val="center"/>
        <w:tblLook w:firstColumn="1" w:firstRow="1" w:lastColumn="0" w:lastRow="0" w:noHBand="0" w:noVBand="1" w:val="04A0"/>
        <w:tblCellMar>
          <w:top w:w="100" w:type="dxa"/>
          <w:bottom w:w="100" w:type="dxa"/>
          <w:left w:w="140" w:type="dxa"/>
          <w:right w:w="140" w:type="dxa"/>
        </w:tblCellMa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02"/>
        <w:gridCol w:w="3202"/>
        <w:gridCol w:w="3202"/>
      </w:tblGrid>
      <w:tr>
        <w:trPr>
          <w:tblHeader/>
          <w:cantSplit/>
        </w:trPr>
        <w:tc>
          <w:tcPr>
            <w:tcW w:type="dxa" w:w="2592"/>
            <w:shd w:fill="1a365d"/>
          </w:tcPr>
          <w:p>
            <w:pPr>
              <w:spacing w:before="80" w:after="80"/>
            </w:pPr>
            <w:r>
              <w:rPr>
                <w:rFonts w:ascii="Calibri" w:hAnsi="Calibri"/>
                <w:b/>
                <w:color w:val="FFFFFF"/>
                <w:sz w:val="18"/>
              </w:rPr>
              <w:t>Component</w:t>
            </w:r>
          </w:p>
        </w:tc>
        <w:tc>
          <w:tcPr>
            <w:tcW w:type="dxa" w:w="2592"/>
            <w:shd w:fill="1a365d"/>
          </w:tcPr>
          <w:p>
            <w:pPr>
              <w:spacing w:before="80" w:after="80"/>
            </w:pPr>
            <w:r>
              <w:rPr>
                <w:rFonts w:ascii="Calibri" w:hAnsi="Calibri"/>
                <w:b/>
                <w:color w:val="FFFFFF"/>
                <w:sz w:val="18"/>
              </w:rPr>
              <w:t>Technology / Framework</w:t>
            </w:r>
          </w:p>
        </w:tc>
        <w:tc>
          <w:tcPr>
            <w:tcW w:type="dxa" w:w="4421"/>
            <w:shd w:fill="1a365d"/>
          </w:tcPr>
          <w:p>
            <w:pPr>
              <w:spacing w:before="80" w:after="80"/>
            </w:pPr>
            <w:r>
              <w:rPr>
                <w:rFonts w:ascii="Calibri" w:hAnsi="Calibri"/>
                <w:b/>
                <w:color w:val="FFFFFF"/>
                <w:sz w:val="18"/>
              </w:rPr>
              <w:t>Role &amp; Engineering Responsibility</w:t>
            </w:r>
          </w:p>
        </w:tc>
      </w:tr>
      <w:tr>
        <w:trPr>
          <w:cantSplit/>
        </w:trPr>
        <w:tc>
          <w:tcPr>
            <w:tcW w:type="dxa" w:w="2592"/>
          </w:tcPr>
          <w:p>
            <w:pPr>
              <w:spacing w:before="60" w:after="60"/>
            </w:pPr>
            <w:r>
              <w:rPr>
                <w:rFonts w:ascii="Calibri" w:hAnsi="Calibri"/>
                <w:b/>
                <w:color w:val="0F172A"/>
                <w:sz w:val="17"/>
              </w:rPr>
              <w:t>Web Intake Portal</w:t>
            </w:r>
          </w:p>
        </w:tc>
        <w:tc>
          <w:tcPr>
            <w:tcW w:type="dxa" w:w="2592"/>
          </w:tcPr>
          <w:p>
            <w:pPr>
              <w:spacing w:before="60" w:after="60"/>
            </w:pPr>
            <w:r>
              <w:rPr>
                <w:rFonts w:ascii="Calibri" w:hAnsi="Calibri"/>
                <w:color w:val="0F172A"/>
                <w:sz w:val="17"/>
              </w:rPr>
              <w:t>Vanilla HTML5 / Modern CSS / JS</w:t>
            </w:r>
          </w:p>
        </w:tc>
        <w:tc>
          <w:tcPr>
            <w:tcW w:type="dxa" w:w="4421"/>
          </w:tcPr>
          <w:p>
            <w:pPr>
              <w:spacing w:before="60" w:after="60"/>
            </w:pPr>
            <w:r>
              <w:rPr>
                <w:rFonts w:ascii="Calibri" w:hAnsi="Calibri"/>
                <w:color w:val="0F172A"/>
                <w:sz w:val="17"/>
              </w:rPr>
              <w:t>Zero login friction, client credentials modal, scope copy clipboard, real-time 4-step pipeline stepper.</w:t>
            </w:r>
          </w:p>
        </w:tc>
      </w:tr>
      <w:tr>
        <w:trPr>
          <w:cantSplit/>
        </w:trPr>
        <w:tc>
          <w:tcPr>
            <w:tcW w:type="dxa" w:w="2592"/>
            <w:shd w:fill="f8fafc"/>
          </w:tcPr>
          <w:p>
            <w:pPr>
              <w:spacing w:before="60" w:after="60"/>
            </w:pPr>
            <w:r>
              <w:rPr>
                <w:rFonts w:ascii="Calibri" w:hAnsi="Calibri"/>
                <w:b/>
                <w:color w:val="0F172A"/>
                <w:sz w:val="17"/>
              </w:rPr>
              <w:t>API Web Server</w:t>
            </w:r>
          </w:p>
        </w:tc>
        <w:tc>
          <w:tcPr>
            <w:tcW w:type="dxa" w:w="2592"/>
            <w:shd w:fill="f8fafc"/>
          </w:tcPr>
          <w:p>
            <w:pPr>
              <w:spacing w:before="60" w:after="60"/>
            </w:pPr>
            <w:r>
              <w:rPr>
                <w:rFonts w:ascii="Calibri" w:hAnsi="Calibri"/>
                <w:color w:val="0F172A"/>
                <w:sz w:val="17"/>
              </w:rPr>
              <w:t>FastAPI / Uvicorn (ASGI)</w:t>
            </w:r>
          </w:p>
        </w:tc>
        <w:tc>
          <w:tcPr>
            <w:tcW w:type="dxa" w:w="4421"/>
            <w:shd w:fill="f8fafc"/>
          </w:tcPr>
          <w:p>
            <w:pPr>
              <w:spacing w:before="60" w:after="60"/>
            </w:pPr>
            <w:r>
              <w:rPr>
                <w:rFonts w:ascii="Calibri" w:hAnsi="Calibri"/>
                <w:color w:val="0F172A"/>
                <w:sz w:val="17"/>
              </w:rPr>
              <w:t>Asynchronous endpoints for /api/health, /api/discover, and /api/audit with streaming ZIP/PDF delivery.</w:t>
            </w:r>
          </w:p>
        </w:tc>
      </w:tr>
      <w:tr>
        <w:trPr>
          <w:cantSplit/>
        </w:trPr>
        <w:tc>
          <w:tcPr>
            <w:tcW w:type="dxa" w:w="2592"/>
          </w:tcPr>
          <w:p>
            <w:pPr>
              <w:spacing w:before="60" w:after="60"/>
            </w:pPr>
            <w:r>
              <w:rPr>
                <w:rFonts w:ascii="Calibri" w:hAnsi="Calibri"/>
                <w:b/>
                <w:color w:val="0F172A"/>
                <w:sz w:val="17"/>
              </w:rPr>
              <w:t>AI Diagnostic Brain</w:t>
            </w:r>
          </w:p>
        </w:tc>
        <w:tc>
          <w:tcPr>
            <w:tcW w:type="dxa" w:w="2592"/>
          </w:tcPr>
          <w:p>
            <w:pPr>
              <w:spacing w:before="60" w:after="60"/>
            </w:pPr>
            <w:r>
              <w:rPr>
                <w:rFonts w:ascii="Calibri" w:hAnsi="Calibri"/>
                <w:color w:val="0F172A"/>
                <w:sz w:val="17"/>
              </w:rPr>
              <w:t>Groq Cloud (openai/gpt-oss-20b &amp; 120b)</w:t>
            </w:r>
          </w:p>
        </w:tc>
        <w:tc>
          <w:tcPr>
            <w:tcW w:type="dxa" w:w="4421"/>
          </w:tcPr>
          <w:p>
            <w:pPr>
              <w:spacing w:before="60" w:after="60"/>
            </w:pPr>
            <w:r>
              <w:rPr>
                <w:rFonts w:ascii="Calibri" w:hAnsi="Calibri"/>
                <w:color w:val="0F172A"/>
                <w:sz w:val="17"/>
              </w:rPr>
              <w:t>Sub-10s diagnostic inference, strict temperature (0.1), structured JSON mode, Wooplix House Style enforcement.</w:t>
            </w:r>
          </w:p>
        </w:tc>
      </w:tr>
      <w:tr>
        <w:trPr>
          <w:cantSplit/>
        </w:trPr>
        <w:tc>
          <w:tcPr>
            <w:tcW w:type="dxa" w:w="2592"/>
            <w:shd w:fill="f8fafc"/>
          </w:tcPr>
          <w:p>
            <w:pPr>
              <w:spacing w:before="60" w:after="60"/>
            </w:pPr>
            <w:r>
              <w:rPr>
                <w:rFonts w:ascii="Calibri" w:hAnsi="Calibri"/>
                <w:b/>
                <w:color w:val="0F172A"/>
                <w:sz w:val="17"/>
              </w:rPr>
              <w:t>OAuth &amp; Unified Auth</w:t>
            </w:r>
          </w:p>
        </w:tc>
        <w:tc>
          <w:tcPr>
            <w:tcW w:type="dxa" w:w="2592"/>
            <w:shd w:fill="f8fafc"/>
          </w:tcPr>
          <w:p>
            <w:pPr>
              <w:spacing w:before="60" w:after="60"/>
            </w:pPr>
            <w:r>
              <w:rPr>
                <w:rFonts w:ascii="Calibri" w:hAnsi="Calibri"/>
                <w:color w:val="0F172A"/>
                <w:sz w:val="17"/>
              </w:rPr>
              <w:t>Zoho Accounts REST API</w:t>
            </w:r>
          </w:p>
        </w:tc>
        <w:tc>
          <w:tcPr>
            <w:tcW w:type="dxa" w:w="4421"/>
            <w:shd w:fill="f8fafc"/>
          </w:tcPr>
          <w:p>
            <w:pPr>
              <w:spacing w:before="60" w:after="60"/>
            </w:pPr>
            <w:r>
              <w:rPr>
                <w:rFonts w:ascii="Calibri" w:hAnsi="Calibri"/>
                <w:color w:val="0F172A"/>
                <w:sz w:val="17"/>
              </w:rPr>
              <w:t>Exchanges 10-minute temporary codes for refresh tokens, manages bearer access tokens across multi-region datacenters.</w:t>
            </w:r>
          </w:p>
        </w:tc>
      </w:tr>
      <w:tr>
        <w:trPr>
          <w:cantSplit/>
        </w:trPr>
        <w:tc>
          <w:tcPr>
            <w:tcW w:type="dxa" w:w="2592"/>
          </w:tcPr>
          <w:p>
            <w:pPr>
              <w:spacing w:before="60" w:after="60"/>
            </w:pPr>
            <w:r>
              <w:rPr>
                <w:rFonts w:ascii="Calibri" w:hAnsi="Calibri"/>
                <w:b/>
                <w:color w:val="0F172A"/>
                <w:sz w:val="17"/>
              </w:rPr>
              <w:t>PDF Compiler</w:t>
            </w:r>
          </w:p>
        </w:tc>
        <w:tc>
          <w:tcPr>
            <w:tcW w:type="dxa" w:w="2592"/>
          </w:tcPr>
          <w:p>
            <w:pPr>
              <w:spacing w:before="60" w:after="60"/>
            </w:pPr>
            <w:r>
              <w:rPr>
                <w:rFonts w:ascii="Calibri" w:hAnsi="Calibri"/>
                <w:color w:val="0F172A"/>
                <w:sz w:val="17"/>
              </w:rPr>
              <w:t>Dompdf (PHP 8.2) + Bridge</w:t>
            </w:r>
          </w:p>
        </w:tc>
        <w:tc>
          <w:tcPr>
            <w:tcW w:type="dxa" w:w="4421"/>
          </w:tcPr>
          <w:p>
            <w:pPr>
              <w:spacing w:before="60" w:after="60"/>
            </w:pPr>
            <w:r>
              <w:rPr>
                <w:rFonts w:ascii="Calibri" w:hAnsi="Calibri"/>
                <w:color w:val="0F172A"/>
                <w:sz w:val="17"/>
              </w:rPr>
              <w:t>Pixel-perfect CSS paged media, repeated thead headers, clean page-break-before rules, dual-logo base64 headers.</w:t>
            </w:r>
          </w:p>
        </w:tc>
      </w:tr>
      <w:tr>
        <w:trPr>
          <w:cantSplit/>
        </w:trPr>
        <w:tc>
          <w:tcPr>
            <w:tcW w:type="dxa" w:w="2592"/>
            <w:shd w:fill="f8fafc"/>
          </w:tcPr>
          <w:p>
            <w:pPr>
              <w:spacing w:before="60" w:after="60"/>
            </w:pPr>
            <w:r>
              <w:rPr>
                <w:rFonts w:ascii="Calibri" w:hAnsi="Calibri"/>
                <w:b/>
                <w:color w:val="0F172A"/>
                <w:sz w:val="17"/>
              </w:rPr>
              <w:t>Word Compiler</w:t>
            </w:r>
          </w:p>
        </w:tc>
        <w:tc>
          <w:tcPr>
            <w:tcW w:type="dxa" w:w="2592"/>
            <w:shd w:fill="f8fafc"/>
          </w:tcPr>
          <w:p>
            <w:pPr>
              <w:spacing w:before="60" w:after="60"/>
            </w:pPr>
            <w:r>
              <w:rPr>
                <w:rFonts w:ascii="Calibri" w:hAnsi="Calibri"/>
                <w:color w:val="0F172A"/>
                <w:sz w:val="17"/>
              </w:rPr>
              <w:t>python-docx (Pinned v1.2.0)</w:t>
            </w:r>
          </w:p>
        </w:tc>
        <w:tc>
          <w:tcPr>
            <w:tcW w:type="dxa" w:w="4421"/>
            <w:shd w:fill="f8fafc"/>
          </w:tcPr>
          <w:p>
            <w:pPr>
              <w:spacing w:before="60" w:after="60"/>
            </w:pPr>
            <w:r>
              <w:rPr>
                <w:rFonts w:ascii="Calibri" w:hAnsi="Calibri"/>
                <w:color w:val="0F172A"/>
                <w:sz w:val="17"/>
              </w:rPr>
              <w:t>Generates native Microsoft Word documents with custom corporate brand palette, XML cantSplit borders, and tables.</w:t>
            </w:r>
          </w:p>
        </w:tc>
      </w:tr>
      <w:tr>
        <w:trPr>
          <w:cantSplit/>
        </w:trPr>
        <w:tc>
          <w:tcPr>
            <w:tcW w:type="dxa" w:w="2592"/>
          </w:tcPr>
          <w:p>
            <w:pPr>
              <w:spacing w:before="60" w:after="60"/>
            </w:pPr>
            <w:r>
              <w:rPr>
                <w:rFonts w:ascii="Calibri" w:hAnsi="Calibri"/>
                <w:b/>
                <w:color w:val="0F172A"/>
                <w:sz w:val="17"/>
              </w:rPr>
              <w:t>Telemetry Sampling</w:t>
            </w:r>
          </w:p>
        </w:tc>
        <w:tc>
          <w:tcPr>
            <w:tcW w:type="dxa" w:w="2592"/>
          </w:tcPr>
          <w:p>
            <w:pPr>
              <w:spacing w:before="60" w:after="60"/>
            </w:pPr>
            <w:r>
              <w:rPr>
                <w:rFonts w:ascii="Calibri" w:hAnsi="Calibri"/>
                <w:color w:val="0F172A"/>
                <w:sz w:val="17"/>
              </w:rPr>
              <w:t>Python Requests (Read-Only)</w:t>
            </w:r>
          </w:p>
        </w:tc>
        <w:tc>
          <w:tcPr>
            <w:tcW w:type="dxa" w:w="4421"/>
          </w:tcPr>
          <w:p>
            <w:pPr>
              <w:spacing w:before="60" w:after="60"/>
            </w:pPr>
            <w:r>
              <w:rPr>
                <w:rFonts w:ascii="Calibri" w:hAnsi="Calibri"/>
                <w:color w:val="0F172A"/>
                <w:sz w:val="17"/>
              </w:rPr>
              <w:t>Non-destructive API inspection of modules, pipeline stages, lead assignment rules, SLAs, and cross-app sync.</w:t>
            </w:r>
          </w:p>
        </w:tc>
      </w:tr>
      <w:tr>
        <w:trPr>
          <w:cantSplit/>
        </w:trPr>
        <w:tc>
          <w:tcPr>
            <w:tcW w:type="dxa" w:w="2592"/>
            <w:shd w:fill="f8fafc"/>
          </w:tcPr>
          <w:p>
            <w:pPr>
              <w:spacing w:before="60" w:after="60"/>
            </w:pPr>
            <w:r>
              <w:rPr>
                <w:rFonts w:ascii="Calibri" w:hAnsi="Calibri"/>
                <w:b/>
                <w:color w:val="0F172A"/>
                <w:sz w:val="17"/>
              </w:rPr>
              <w:t>Hosting &amp; CI/CD</w:t>
            </w:r>
          </w:p>
        </w:tc>
        <w:tc>
          <w:tcPr>
            <w:tcW w:type="dxa" w:w="2592"/>
            <w:shd w:fill="f8fafc"/>
          </w:tcPr>
          <w:p>
            <w:pPr>
              <w:spacing w:before="60" w:after="60"/>
            </w:pPr>
            <w:r>
              <w:rPr>
                <w:rFonts w:ascii="Calibri" w:hAnsi="Calibri"/>
                <w:color w:val="0F172A"/>
                <w:sz w:val="17"/>
              </w:rPr>
              <w:t>GitHub + Vercel Serverless</w:t>
            </w:r>
          </w:p>
        </w:tc>
        <w:tc>
          <w:tcPr>
            <w:tcW w:type="dxa" w:w="4421"/>
            <w:shd w:fill="f8fafc"/>
          </w:tcPr>
          <w:p>
            <w:pPr>
              <w:spacing w:before="60" w:after="60"/>
            </w:pPr>
            <w:r>
              <w:rPr>
                <w:rFonts w:ascii="Calibri" w:hAnsi="Calibri"/>
                <w:color w:val="0F172A"/>
                <w:sz w:val="17"/>
              </w:rPr>
              <w:t>Automated deployment triggers from main branch, serverless Python/PHP runtime execution, zero server maintenance.</w:t>
            </w:r>
          </w:p>
        </w:tc>
      </w:tr>
    </w:tbl>
    <w:p>
      <w:pPr>
        <w:spacing w:after="280"/>
      </w:pPr>
    </w:p>
    <w:p>
      <w:r>
        <w:rPr>
          <w:b/>
          <w:color w:val="1A365D"/>
          <w:sz w:val="28"/>
        </w:rPr>
        <w:t>4. Function-by-Function Engineering Breakdown</w:t>
      </w:r>
    </w:p>
    <w:tbl>
      <w:tblPr>
        <w:tblW w:type="auto" w:w="0"/>
        <w:jc w:val="center"/>
        <w:tblLook w:firstColumn="1" w:firstRow="1" w:lastColumn="0" w:lastRow="0" w:noHBand="0" w:noVBand="1" w:val="04A0"/>
        <w:tblCellMar>
          <w:top w:w="100" w:type="dxa"/>
          <w:bottom w:w="100" w:type="dxa"/>
          <w:left w:w="140" w:type="dxa"/>
          <w:right w:w="140" w:type="dxa"/>
        </w:tblCellMar>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02"/>
        <w:gridCol w:w="3202"/>
        <w:gridCol w:w="3202"/>
      </w:tblGrid>
      <w:tr>
        <w:trPr>
          <w:tblHeader/>
          <w:cantSplit/>
        </w:trPr>
        <w:tc>
          <w:tcPr>
            <w:tcW w:type="dxa" w:w="2880"/>
            <w:shd w:fill="1a365d"/>
          </w:tcPr>
          <w:p>
            <w:pPr>
              <w:spacing w:before="80" w:after="80"/>
            </w:pPr>
            <w:r>
              <w:rPr>
                <w:rFonts w:ascii="Calibri" w:hAnsi="Calibri"/>
                <w:b/>
                <w:color w:val="FFFFFF"/>
                <w:sz w:val="18"/>
              </w:rPr>
              <w:t>Module / Function</w:t>
            </w:r>
          </w:p>
        </w:tc>
        <w:tc>
          <w:tcPr>
            <w:tcW w:type="dxa" w:w="3168"/>
            <w:shd w:fill="1a365d"/>
          </w:tcPr>
          <w:p>
            <w:pPr>
              <w:spacing w:before="80" w:after="80"/>
            </w:pPr>
            <w:r>
              <w:rPr>
                <w:rFonts w:ascii="Calibri" w:hAnsi="Calibri"/>
                <w:b/>
                <w:color w:val="FFFFFF"/>
                <w:sz w:val="18"/>
              </w:rPr>
              <w:t>Technical Responsibility</w:t>
            </w:r>
          </w:p>
        </w:tc>
        <w:tc>
          <w:tcPr>
            <w:tcW w:type="dxa" w:w="3557"/>
            <w:shd w:fill="1a365d"/>
          </w:tcPr>
          <w:p>
            <w:pPr>
              <w:spacing w:before="80" w:after="80"/>
            </w:pPr>
            <w:r>
              <w:rPr>
                <w:rFonts w:ascii="Calibri" w:hAnsi="Calibri"/>
                <w:b/>
                <w:color w:val="FFFFFF"/>
                <w:sz w:val="18"/>
              </w:rPr>
              <w:t>Business &amp; Operational Impact</w:t>
            </w:r>
          </w:p>
        </w:tc>
      </w:tr>
      <w:tr>
        <w:trPr>
          <w:cantSplit/>
        </w:trPr>
        <w:tc>
          <w:tcPr>
            <w:tcW w:type="dxa" w:w="2880"/>
          </w:tcPr>
          <w:p>
            <w:pPr>
              <w:spacing w:before="60" w:after="60"/>
            </w:pPr>
            <w:r>
              <w:rPr>
                <w:rFonts w:ascii="Calibri" w:hAnsi="Calibri"/>
                <w:b/>
                <w:color w:val="0F172A"/>
                <w:sz w:val="17"/>
              </w:rPr>
              <w:t>unified_zoho_auth()</w:t>
            </w:r>
          </w:p>
        </w:tc>
        <w:tc>
          <w:tcPr>
            <w:tcW w:type="dxa" w:w="3168"/>
          </w:tcPr>
          <w:p>
            <w:pPr>
              <w:spacing w:before="60" w:after="60"/>
            </w:pPr>
            <w:r>
              <w:rPr>
                <w:rFonts w:ascii="Calibri" w:hAnsi="Calibri"/>
                <w:color w:val="0F172A"/>
                <w:sz w:val="17"/>
              </w:rPr>
              <w:t>Authenticates client ID, secret, and code/refresh token against regional Zoho accounts servers.</w:t>
            </w:r>
          </w:p>
        </w:tc>
        <w:tc>
          <w:tcPr>
            <w:tcW w:type="dxa" w:w="3557"/>
          </w:tcPr>
          <w:p>
            <w:pPr>
              <w:spacing w:before="60" w:after="60"/>
            </w:pPr>
            <w:r>
              <w:rPr>
                <w:rFonts w:ascii="Calibri" w:hAnsi="Calibri"/>
                <w:color w:val="0F172A"/>
                <w:sz w:val="17"/>
              </w:rPr>
              <w:t>Handles multi-region datacenters (.in, .com, .eu, .com.au) and persists token state seamlessly.</w:t>
            </w:r>
          </w:p>
        </w:tc>
      </w:tr>
      <w:tr>
        <w:trPr>
          <w:cantSplit/>
        </w:trPr>
        <w:tc>
          <w:tcPr>
            <w:tcW w:type="dxa" w:w="2880"/>
            <w:shd w:fill="f8fafc"/>
          </w:tcPr>
          <w:p>
            <w:pPr>
              <w:spacing w:before="60" w:after="60"/>
            </w:pPr>
            <w:r>
              <w:rPr>
                <w:rFonts w:ascii="Calibri" w:hAnsi="Calibri"/>
                <w:b/>
                <w:color w:val="0F172A"/>
                <w:sz w:val="17"/>
              </w:rPr>
              <w:t>discover_environment()</w:t>
            </w:r>
          </w:p>
        </w:tc>
        <w:tc>
          <w:tcPr>
            <w:tcW w:type="dxa" w:w="3168"/>
            <w:shd w:fill="f8fafc"/>
          </w:tcPr>
          <w:p>
            <w:pPr>
              <w:spacing w:before="60" w:after="60"/>
            </w:pPr>
            <w:r>
              <w:rPr>
                <w:rFonts w:ascii="Calibri" w:hAnsi="Calibri"/>
                <w:color w:val="0F172A"/>
                <w:sz w:val="17"/>
              </w:rPr>
              <w:t>Probes CRM, Desk, Books, Inventory, Projects, WorkDrive, and Flow endpoints and checks scopes.</w:t>
            </w:r>
          </w:p>
        </w:tc>
        <w:tc>
          <w:tcPr>
            <w:tcW w:type="dxa" w:w="3557"/>
            <w:shd w:fill="f8fafc"/>
          </w:tcPr>
          <w:p>
            <w:pPr>
              <w:spacing w:before="60" w:after="60"/>
            </w:pPr>
            <w:r>
              <w:rPr>
                <w:rFonts w:ascii="Calibri" w:hAnsi="Calibri"/>
                <w:color w:val="0F172A"/>
                <w:sz w:val="17"/>
              </w:rPr>
              <w:t>Auto-detects client organization identity, primary contact email, and all active tenant applications.</w:t>
            </w:r>
          </w:p>
        </w:tc>
      </w:tr>
      <w:tr>
        <w:trPr>
          <w:cantSplit/>
        </w:trPr>
        <w:tc>
          <w:tcPr>
            <w:tcW w:type="dxa" w:w="2880"/>
          </w:tcPr>
          <w:p>
            <w:pPr>
              <w:spacing w:before="60" w:after="60"/>
            </w:pPr>
            <w:r>
              <w:rPr>
                <w:rFonts w:ascii="Calibri" w:hAnsi="Calibri"/>
                <w:b/>
                <w:color w:val="0F172A"/>
                <w:sz w:val="17"/>
              </w:rPr>
              <w:t>collect_crm_telemetry()</w:t>
            </w:r>
          </w:p>
        </w:tc>
        <w:tc>
          <w:tcPr>
            <w:tcW w:type="dxa" w:w="3168"/>
          </w:tcPr>
          <w:p>
            <w:pPr>
              <w:spacing w:before="60" w:after="60"/>
            </w:pPr>
            <w:r>
              <w:rPr>
                <w:rFonts w:ascii="Calibri" w:hAnsi="Calibri"/>
                <w:color w:val="0F172A"/>
                <w:sz w:val="17"/>
              </w:rPr>
              <w:t>Queries /crm/v2 for org info, modules, pipeline stages, leads, dormant deals, and user profiles.</w:t>
            </w:r>
          </w:p>
        </w:tc>
        <w:tc>
          <w:tcPr>
            <w:tcW w:type="dxa" w:w="3557"/>
          </w:tcPr>
          <w:p>
            <w:pPr>
              <w:spacing w:before="60" w:after="60"/>
            </w:pPr>
            <w:r>
              <w:rPr>
                <w:rFonts w:ascii="Calibri" w:hAnsi="Calibri"/>
                <w:color w:val="0F172A"/>
                <w:sz w:val="17"/>
              </w:rPr>
              <w:t>Captures data hygiene metrics, unattributed leads, speed-to-lead latency, and overprivileged export roles.</w:t>
            </w:r>
          </w:p>
        </w:tc>
      </w:tr>
      <w:tr>
        <w:trPr>
          <w:cantSplit/>
        </w:trPr>
        <w:tc>
          <w:tcPr>
            <w:tcW w:type="dxa" w:w="2880"/>
            <w:shd w:fill="f8fafc"/>
          </w:tcPr>
          <w:p>
            <w:pPr>
              <w:spacing w:before="60" w:after="60"/>
            </w:pPr>
            <w:r>
              <w:rPr>
                <w:rFonts w:ascii="Calibri" w:hAnsi="Calibri"/>
                <w:b/>
                <w:color w:val="0F172A"/>
                <w:sz w:val="17"/>
              </w:rPr>
              <w:t>collect_desk_telemetry()</w:t>
            </w:r>
          </w:p>
        </w:tc>
        <w:tc>
          <w:tcPr>
            <w:tcW w:type="dxa" w:w="3168"/>
            <w:shd w:fill="f8fafc"/>
          </w:tcPr>
          <w:p>
            <w:pPr>
              <w:spacing w:before="60" w:after="60"/>
            </w:pPr>
            <w:r>
              <w:rPr>
                <w:rFonts w:ascii="Calibri" w:hAnsi="Calibri"/>
                <w:color w:val="0F172A"/>
                <w:sz w:val="17"/>
              </w:rPr>
              <w:t>Discovers mandatory orgId and queries /departments, /slas, and /tickets for queue backlogs.</w:t>
            </w:r>
          </w:p>
        </w:tc>
        <w:tc>
          <w:tcPr>
            <w:tcW w:type="dxa" w:w="3557"/>
            <w:shd w:fill="f8fafc"/>
          </w:tcPr>
          <w:p>
            <w:pPr>
              <w:spacing w:before="60" w:after="60"/>
            </w:pPr>
            <w:r>
              <w:rPr>
                <w:rFonts w:ascii="Calibri" w:hAnsi="Calibri"/>
                <w:color w:val="0F172A"/>
                <w:sz w:val="17"/>
              </w:rPr>
              <w:t>Exposes unmonitored ticket queues, SLA violation rates, and disabled supervisory escalation alerts.</w:t>
            </w:r>
          </w:p>
        </w:tc>
      </w:tr>
      <w:tr>
        <w:trPr>
          <w:cantSplit/>
        </w:trPr>
        <w:tc>
          <w:tcPr>
            <w:tcW w:type="dxa" w:w="2880"/>
          </w:tcPr>
          <w:p>
            <w:pPr>
              <w:spacing w:before="60" w:after="60"/>
            </w:pPr>
            <w:r>
              <w:rPr>
                <w:rFonts w:ascii="Calibri" w:hAnsi="Calibri"/>
                <w:b/>
                <w:color w:val="0F172A"/>
                <w:sz w:val="17"/>
              </w:rPr>
              <w:t>collect_books_telemetry()</w:t>
            </w:r>
          </w:p>
        </w:tc>
        <w:tc>
          <w:tcPr>
            <w:tcW w:type="dxa" w:w="3168"/>
          </w:tcPr>
          <w:p>
            <w:pPr>
              <w:spacing w:before="60" w:after="60"/>
            </w:pPr>
            <w:r>
              <w:rPr>
                <w:rFonts w:ascii="Calibri" w:hAnsi="Calibri"/>
                <w:color w:val="0F172A"/>
                <w:sz w:val="17"/>
              </w:rPr>
              <w:t>Queries /books/v3 with organization_id for currencies, receivables, and overdue invoices.</w:t>
            </w:r>
          </w:p>
        </w:tc>
        <w:tc>
          <w:tcPr>
            <w:tcW w:type="dxa" w:w="3557"/>
          </w:tcPr>
          <w:p>
            <w:pPr>
              <w:spacing w:before="60" w:after="60"/>
            </w:pPr>
            <w:r>
              <w:rPr>
                <w:rFonts w:ascii="Calibri" w:hAnsi="Calibri"/>
                <w:color w:val="0F172A"/>
                <w:sz w:val="17"/>
              </w:rPr>
              <w:t>Calculates stagnant cash flow beyond 90 days and flags disabled automated payment reminders.</w:t>
            </w:r>
          </w:p>
        </w:tc>
      </w:tr>
      <w:tr>
        <w:trPr>
          <w:cantSplit/>
        </w:trPr>
        <w:tc>
          <w:tcPr>
            <w:tcW w:type="dxa" w:w="2880"/>
            <w:shd w:fill="f8fafc"/>
          </w:tcPr>
          <w:p>
            <w:pPr>
              <w:spacing w:before="60" w:after="60"/>
            </w:pPr>
            <w:r>
              <w:rPr>
                <w:rFonts w:ascii="Calibri" w:hAnsi="Calibri"/>
                <w:b/>
                <w:color w:val="0F172A"/>
                <w:sz w:val="17"/>
              </w:rPr>
              <w:t>collect_cross_app_telemetry()</w:t>
            </w:r>
          </w:p>
        </w:tc>
        <w:tc>
          <w:tcPr>
            <w:tcW w:type="dxa" w:w="3168"/>
            <w:shd w:fill="f8fafc"/>
          </w:tcPr>
          <w:p>
            <w:pPr>
              <w:spacing w:before="60" w:after="60"/>
            </w:pPr>
            <w:r>
              <w:rPr>
                <w:rFonts w:ascii="Calibri" w:hAnsi="Calibri"/>
                <w:color w:val="0F172A"/>
                <w:sz w:val="17"/>
              </w:rPr>
              <w:t>Evaluates bidirectional data flow and synchronization failure rates between CRM, Books, and Desk.</w:t>
            </w:r>
          </w:p>
        </w:tc>
        <w:tc>
          <w:tcPr>
            <w:tcW w:type="dxa" w:w="3557"/>
            <w:shd w:fill="f8fafc"/>
          </w:tcPr>
          <w:p>
            <w:pPr>
              <w:spacing w:before="60" w:after="60"/>
            </w:pPr>
            <w:r>
              <w:rPr>
                <w:rFonts w:ascii="Calibri" w:hAnsi="Calibri"/>
                <w:color w:val="0F172A"/>
                <w:sz w:val="17"/>
              </w:rPr>
              <w:t>Detects entity mapping discrepancies, asymmetric sync, and missing ticket visibility in deal records.</w:t>
            </w:r>
          </w:p>
        </w:tc>
      </w:tr>
      <w:tr>
        <w:trPr>
          <w:cantSplit/>
        </w:trPr>
        <w:tc>
          <w:tcPr>
            <w:tcW w:type="dxa" w:w="2880"/>
          </w:tcPr>
          <w:p>
            <w:pPr>
              <w:spacing w:before="60" w:after="60"/>
            </w:pPr>
            <w:r>
              <w:rPr>
                <w:rFonts w:ascii="Calibri" w:hAnsi="Calibri"/>
                <w:b/>
                <w:color w:val="0F172A"/>
                <w:sz w:val="17"/>
              </w:rPr>
              <w:t>generate_sample_telemetry()</w:t>
            </w:r>
          </w:p>
        </w:tc>
        <w:tc>
          <w:tcPr>
            <w:tcW w:type="dxa" w:w="3168"/>
          </w:tcPr>
          <w:p>
            <w:pPr>
              <w:spacing w:before="60" w:after="60"/>
            </w:pPr>
            <w:r>
              <w:rPr>
                <w:rFonts w:ascii="Calibri" w:hAnsi="Calibri"/>
                <w:color w:val="0F172A"/>
                <w:sz w:val="17"/>
              </w:rPr>
              <w:t>Generates high-fidelity, realistic enterprise diagnostic baseline data across all 8 tools.</w:t>
            </w:r>
          </w:p>
        </w:tc>
        <w:tc>
          <w:tcPr>
            <w:tcW w:type="dxa" w:w="3557"/>
          </w:tcPr>
          <w:p>
            <w:pPr>
              <w:spacing w:before="60" w:after="60"/>
            </w:pPr>
            <w:r>
              <w:rPr>
                <w:rFonts w:ascii="Calibri" w:hAnsi="Calibri"/>
                <w:color w:val="0F172A"/>
                <w:sz w:val="17"/>
              </w:rPr>
              <w:t>Enables instant live demonstrations, client pitches, and sandbox evaluations without production tokens.</w:t>
            </w:r>
          </w:p>
        </w:tc>
      </w:tr>
      <w:tr>
        <w:trPr>
          <w:cantSplit/>
        </w:trPr>
        <w:tc>
          <w:tcPr>
            <w:tcW w:type="dxa" w:w="2880"/>
            <w:shd w:fill="f8fafc"/>
          </w:tcPr>
          <w:p>
            <w:pPr>
              <w:spacing w:before="60" w:after="60"/>
            </w:pPr>
            <w:r>
              <w:rPr>
                <w:rFonts w:ascii="Calibri" w:hAnsi="Calibri"/>
                <w:b/>
                <w:color w:val="0F172A"/>
                <w:sz w:val="17"/>
              </w:rPr>
              <w:t>compute_system_health_scores()</w:t>
            </w:r>
          </w:p>
        </w:tc>
        <w:tc>
          <w:tcPr>
            <w:tcW w:type="dxa" w:w="3168"/>
            <w:shd w:fill="f8fafc"/>
          </w:tcPr>
          <w:p>
            <w:pPr>
              <w:spacing w:before="60" w:after="60"/>
            </w:pPr>
            <w:r>
              <w:rPr>
                <w:rFonts w:ascii="Calibri" w:hAnsi="Calibri"/>
                <w:color w:val="0F172A"/>
                <w:sz w:val="17"/>
              </w:rPr>
              <w:t>Applies mathematical formula separating data access from configuration health across assessed tools.</w:t>
            </w:r>
          </w:p>
        </w:tc>
        <w:tc>
          <w:tcPr>
            <w:tcW w:type="dxa" w:w="3557"/>
            <w:shd w:fill="f8fafc"/>
          </w:tcPr>
          <w:p>
            <w:pPr>
              <w:spacing w:before="60" w:after="60"/>
            </w:pPr>
            <w:r>
              <w:rPr>
                <w:rFonts w:ascii="Calibri" w:hAnsi="Calibri"/>
                <w:color w:val="0F172A"/>
                <w:sz w:val="17"/>
              </w:rPr>
              <w:t>Eliminates false negative scoring; un-granted scopes receive 'NOT ASSESSED' (weight 0%) with full transparency.</w:t>
            </w:r>
          </w:p>
        </w:tc>
      </w:tr>
      <w:tr>
        <w:trPr>
          <w:cantSplit/>
        </w:trPr>
        <w:tc>
          <w:tcPr>
            <w:tcW w:type="dxa" w:w="2880"/>
          </w:tcPr>
          <w:p>
            <w:pPr>
              <w:spacing w:before="60" w:after="60"/>
            </w:pPr>
            <w:r>
              <w:rPr>
                <w:rFonts w:ascii="Calibri" w:hAnsi="Calibri"/>
                <w:b/>
                <w:color w:val="0F172A"/>
                <w:sz w:val="17"/>
              </w:rPr>
              <w:t>analyze_telemetry_with_groq()</w:t>
            </w:r>
          </w:p>
        </w:tc>
        <w:tc>
          <w:tcPr>
            <w:tcW w:type="dxa" w:w="3168"/>
          </w:tcPr>
          <w:p>
            <w:pPr>
              <w:spacing w:before="60" w:after="60"/>
            </w:pPr>
            <w:r>
              <w:rPr>
                <w:rFonts w:ascii="Calibri" w:hAnsi="Calibri"/>
                <w:color w:val="0F172A"/>
                <w:sz w:val="17"/>
              </w:rPr>
              <w:t>Sends raw telemetry to Groq LLM with strict Wooplix House Style and schema constraints.</w:t>
            </w:r>
          </w:p>
        </w:tc>
        <w:tc>
          <w:tcPr>
            <w:tcW w:type="dxa" w:w="3557"/>
          </w:tcPr>
          <w:p>
            <w:pPr>
              <w:spacing w:before="60" w:after="60"/>
            </w:pPr>
            <w:r>
              <w:rPr>
                <w:rFonts w:ascii="Calibri" w:hAnsi="Calibri"/>
                <w:color w:val="0F172A"/>
                <w:sz w:val="17"/>
              </w:rPr>
              <w:t>Produces objective, concrete diagnostic findings with root cause analysis and step-by-step technical fixes.</w:t>
            </w:r>
          </w:p>
        </w:tc>
      </w:tr>
      <w:tr>
        <w:trPr>
          <w:cantSplit/>
        </w:trPr>
        <w:tc>
          <w:tcPr>
            <w:tcW w:type="dxa" w:w="2880"/>
            <w:shd w:fill="f8fafc"/>
          </w:tcPr>
          <w:p>
            <w:pPr>
              <w:spacing w:before="60" w:after="60"/>
            </w:pPr>
            <w:r>
              <w:rPr>
                <w:rFonts w:ascii="Calibri" w:hAnsi="Calibri"/>
                <w:b/>
                <w:color w:val="0F172A"/>
                <w:sz w:val="17"/>
              </w:rPr>
              <w:t>validate_and_normalize_audit_schema()</w:t>
            </w:r>
          </w:p>
        </w:tc>
        <w:tc>
          <w:tcPr>
            <w:tcW w:type="dxa" w:w="3168"/>
            <w:shd w:fill="f8fafc"/>
          </w:tcPr>
          <w:p>
            <w:pPr>
              <w:spacing w:before="60" w:after="60"/>
            </w:pPr>
            <w:r>
              <w:rPr>
                <w:rFonts w:ascii="Calibri" w:hAnsi="Calibri"/>
                <w:color w:val="0F172A"/>
                <w:sz w:val="17"/>
              </w:rPr>
              <w:t>Validates severity enum, normalizes scores, attaches provenance, and enforces sandbox safety notices.</w:t>
            </w:r>
          </w:p>
        </w:tc>
        <w:tc>
          <w:tcPr>
            <w:tcW w:type="dxa" w:w="3557"/>
            <w:shd w:fill="f8fafc"/>
          </w:tcPr>
          <w:p>
            <w:pPr>
              <w:spacing w:before="60" w:after="60"/>
            </w:pPr>
            <w:r>
              <w:rPr>
                <w:rFonts w:ascii="Calibri" w:hAnsi="Calibri"/>
                <w:color w:val="0F172A"/>
                <w:sz w:val="17"/>
              </w:rPr>
              <w:t>Guarantees schema compliance and protects client production data by requiring sandbox validation for bulk updates.</w:t>
            </w:r>
          </w:p>
        </w:tc>
      </w:tr>
      <w:tr>
        <w:trPr>
          <w:cantSplit/>
        </w:trPr>
        <w:tc>
          <w:tcPr>
            <w:tcW w:type="dxa" w:w="2880"/>
          </w:tcPr>
          <w:p>
            <w:pPr>
              <w:spacing w:before="60" w:after="60"/>
            </w:pPr>
            <w:r>
              <w:rPr>
                <w:rFonts w:ascii="Calibri" w:hAnsi="Calibri"/>
                <w:b/>
                <w:color w:val="0F172A"/>
                <w:sz w:val="17"/>
              </w:rPr>
              <w:t>build_docx()</w:t>
            </w:r>
          </w:p>
        </w:tc>
        <w:tc>
          <w:tcPr>
            <w:tcW w:type="dxa" w:w="3168"/>
          </w:tcPr>
          <w:p>
            <w:pPr>
              <w:spacing w:before="60" w:after="60"/>
            </w:pPr>
            <w:r>
              <w:rPr>
                <w:rFonts w:ascii="Calibri" w:hAnsi="Calibri"/>
                <w:color w:val="0F172A"/>
                <w:sz w:val="17"/>
              </w:rPr>
              <w:t>Compiles full Microsoft Word document with dual logos, scoring table, findings, and phased roadmap.</w:t>
            </w:r>
          </w:p>
        </w:tc>
        <w:tc>
          <w:tcPr>
            <w:tcW w:type="dxa" w:w="3557"/>
          </w:tcPr>
          <w:p>
            <w:pPr>
              <w:spacing w:before="60" w:after="60"/>
            </w:pPr>
            <w:r>
              <w:rPr>
                <w:rFonts w:ascii="Calibri" w:hAnsi="Calibri"/>
                <w:color w:val="0F172A"/>
                <w:sz w:val="17"/>
              </w:rPr>
              <w:t>Provides sales and delivery teams with an editable deliverable to customize client proposals before sign-off.</w:t>
            </w:r>
          </w:p>
        </w:tc>
      </w:tr>
      <w:tr>
        <w:trPr>
          <w:cantSplit/>
        </w:trPr>
        <w:tc>
          <w:tcPr>
            <w:tcW w:type="dxa" w:w="2880"/>
            <w:shd w:fill="f8fafc"/>
          </w:tcPr>
          <w:p>
            <w:pPr>
              <w:spacing w:before="60" w:after="60"/>
            </w:pPr>
            <w:r>
              <w:rPr>
                <w:rFonts w:ascii="Calibri" w:hAnsi="Calibri"/>
                <w:b/>
                <w:color w:val="0F172A"/>
                <w:sz w:val="17"/>
              </w:rPr>
              <w:t>build_html() &amp; build_pdf()</w:t>
            </w:r>
          </w:p>
        </w:tc>
        <w:tc>
          <w:tcPr>
            <w:tcW w:type="dxa" w:w="3168"/>
            <w:shd w:fill="f8fafc"/>
          </w:tcPr>
          <w:p>
            <w:pPr>
              <w:spacing w:before="60" w:after="60"/>
            </w:pPr>
            <w:r>
              <w:rPr>
                <w:rFonts w:ascii="Calibri" w:hAnsi="Calibri"/>
                <w:color w:val="0F172A"/>
                <w:sz w:val="17"/>
              </w:rPr>
              <w:t>Renders Dompdf HTML with page breaks, monospace chips, sandbox callouts, and compiles vector PDF.</w:t>
            </w:r>
          </w:p>
        </w:tc>
        <w:tc>
          <w:tcPr>
            <w:tcW w:type="dxa" w:w="3557"/>
            <w:shd w:fill="f8fafc"/>
          </w:tcPr>
          <w:p>
            <w:pPr>
              <w:spacing w:before="60" w:after="60"/>
            </w:pPr>
            <w:r>
              <w:rPr>
                <w:rFonts w:ascii="Calibri" w:hAnsi="Calibri"/>
                <w:color w:val="0F172A"/>
                <w:sz w:val="17"/>
              </w:rPr>
              <w:t>Produces client-ready, high-resolution PDF deliverables suitable for C-suite executive presentation.</w:t>
            </w:r>
          </w:p>
        </w:tc>
      </w:tr>
      <w:tr>
        <w:trPr>
          <w:cantSplit/>
        </w:trPr>
        <w:tc>
          <w:tcPr>
            <w:tcW w:type="dxa" w:w="2880"/>
          </w:tcPr>
          <w:p>
            <w:pPr>
              <w:spacing w:before="60" w:after="60"/>
            </w:pPr>
            <w:r>
              <w:rPr>
                <w:rFonts w:ascii="Calibri" w:hAnsi="Calibri"/>
                <w:b/>
                <w:color w:val="0F172A"/>
                <w:sz w:val="17"/>
              </w:rPr>
              <w:t>trigger_audit() (app.py)</w:t>
            </w:r>
          </w:p>
        </w:tc>
        <w:tc>
          <w:tcPr>
            <w:tcW w:type="dxa" w:w="3168"/>
          </w:tcPr>
          <w:p>
            <w:pPr>
              <w:spacing w:before="60" w:after="60"/>
            </w:pPr>
            <w:r>
              <w:rPr>
                <w:rFonts w:ascii="Calibri" w:hAnsi="Calibri"/>
                <w:color w:val="0F172A"/>
                <w:sz w:val="17"/>
              </w:rPr>
              <w:t>FastAPI orchestrator that manages telemetry collection, Groq diagnosis, and deliverables packaging.</w:t>
            </w:r>
          </w:p>
        </w:tc>
        <w:tc>
          <w:tcPr>
            <w:tcW w:type="dxa" w:w="3557"/>
          </w:tcPr>
          <w:p>
            <w:pPr>
              <w:spacing w:before="60" w:after="60"/>
            </w:pPr>
            <w:r>
              <w:rPr>
                <w:rFonts w:ascii="Calibri" w:hAnsi="Calibri"/>
                <w:color w:val="0F172A"/>
                <w:sz w:val="17"/>
              </w:rPr>
              <w:t>Streams PDF, DOCX, or comprehensive 4-file ZIP bundle directly to the user's browser in seconds.</w:t>
            </w:r>
          </w:p>
        </w:tc>
      </w:tr>
    </w:tbl>
    <w:p>
      <w:pPr>
        <w:spacing w:after="280"/>
      </w:pPr>
    </w:p>
    <w:p>
      <w:r>
        <w:rPr>
          <w:b/>
          <w:color w:val="1A365D"/>
          <w:sz w:val="28"/>
        </w:rPr>
        <w:t>5. Mathematical Scoring Methodology &amp; Telemetry Governance</w:t>
      </w:r>
    </w:p>
    <w:p>
      <w:r>
        <w:t>To ensure scientific reproducibility and eliminate subjectivity, the audit engine computes the Overall Health Score using a normalized weighted aggregate formula:</w:t>
        <w:br/>
        <w:br/>
        <w:t>Overall Health Score = Sum(Assessed Tool Score × Weight) / Sum(Assessed Weights)</w:t>
        <w:br/>
        <w:br/>
        <w:t>Key Telemetry Governance Rules Enforced by the System:</w:t>
        <w:br/>
        <w:t>1. Separation of Access from Health: Connection failures or un-granted OAuth scopes are marked 'NOT ASSESSED' with 0% weight. Inaccessible services are never penalized as configuration failures.</w:t>
        <w:br/>
        <w:t>2. Disaggregated Lead Metrics: Leads are classified into distinct categories (Null, Draft, None, Active) rather than lumping them into a misleading 'missing status' aggregate.</w:t>
        <w:br/>
        <w:t>3. Mandatory Sandbox Validation Notice: Every recommendation involving destructive operations (e.g. bulk stage updates, mass lead re-assignment, role permission changes) automatically appends a formal pre-implementation sandbox notice.</w:t>
        <w:br/>
        <w:t>4. Telemetry Provenance Trail: Every generated report records exact sample deal IDs, lead IDs, inspection timestamps, and endpoint boundaries in Section 1.2 for complete audit explainability.</w:t>
      </w:r>
    </w:p>
    <w:tbl>
      <w:tblPr>
        <w:tblW w:type="auto" w:w="0"/>
        <w:jc w:val="center"/>
        <w:tblLook w:firstColumn="1" w:firstRow="1" w:lastColumn="0" w:lastRow="0" w:noHBand="0" w:noVBand="1" w:val="04A0"/>
      </w:tblPr>
      <w:tblGrid>
        <w:gridCol w:w="9605"/>
      </w:tblGrid>
      <w:tr>
        <w:tc>
          <w:tcPr>
            <w:tcW w:type="dxa" w:w="9605"/>
            <w:shd w:fill="f0fdfa"/>
            <w:tcBorders>
              <w:top w:val="none"/>
              <w:bottom w:val="none"/>
              <w:left w:val="single" w:sz="24" w:color="008080"/>
              <w:right w:val="none"/>
            </w:tcBorders>
          </w:tcPr>
          <w:p>
            <w:pPr>
              <w:spacing w:before="80" w:after="80"/>
              <w:ind w:left="144"/>
            </w:pPr>
            <w:r>
              <w:rPr>
                <w:b/>
                <w:color w:val="1A365D"/>
                <w:sz w:val="19"/>
              </w:rPr>
              <w:t>Corporate Sign-Off &amp; Governance</w:t>
              <w:br/>
            </w:r>
            <w:r>
              <w:rPr>
                <w:color w:val="0F172A"/>
                <w:sz w:val="17"/>
              </w:rPr>
              <w:t>Authorized Partner Contact: Wooplix Technologies Private Limited</w:t>
              <w:br/>
              <w:t>Website: https://www.wooplix.com/  |  Email: enquiry@wooplix.com</w:t>
              <w:br/>
              <w:t>Lead Auditor: Rahul (Zoho Certified Lead)  |  Version: 2.0.0 Enterprise</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