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6048"/>
          </w:tcPr>
          <w:p>
            <w:r>
              <w:drawing>
                <wp:inline xmlns:a="http://schemas.openxmlformats.org/drawingml/2006/main" xmlns:pic="http://schemas.openxmlformats.org/drawingml/2006/picture">
                  <wp:extent cx="3108960" cy="9108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oplix_main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910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"/>
          </w:tcPr>
          <w:p/>
        </w:tc>
        <w:tc>
          <w:tcPr>
            <w:tcW w:type="dxa" w:w="345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37360" cy="18925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oplix_partner_bad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189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02B49"/>
          </w:tcPr>
          <w:p>
            <w:pPr>
              <w:spacing w:before="20" w:after="20"/>
            </w:pPr>
            <w:r>
              <w:rPr>
                <w:sz w:val="4"/>
              </w:rPr>
            </w:r>
          </w:p>
        </w:tc>
      </w:tr>
    </w:tbl>
    <w:p>
      <w:pPr>
        <w:spacing w:before="280" w:after="40"/>
      </w:pPr>
      <w:r>
        <w:rPr>
          <w:b/>
          <w:color w:val="002B49"/>
          <w:sz w:val="40"/>
        </w:rPr>
        <w:t>Wooplix Proposal Agent</w:t>
      </w:r>
    </w:p>
    <w:p>
      <w:pPr>
        <w:spacing w:before="0" w:after="280"/>
      </w:pPr>
      <w:r>
        <w:rPr>
          <w:color w:val="64748B"/>
          <w:sz w:val="22"/>
        </w:rPr>
        <w:t>System Overview &amp; Architecture Guide</w:t>
      </w:r>
    </w:p>
    <w:p>
      <w:pPr>
        <w:spacing w:before="280" w:after="80"/>
      </w:pPr>
      <w:r>
        <w:rPr>
          <w:b/>
          <w:color w:val="002B49"/>
          <w:sz w:val="25"/>
        </w:rPr>
        <w:t>1. Purpose &amp; Overview</w:t>
      </w:r>
    </w:p>
    <w:p>
      <w:pPr>
        <w:spacing w:after="120" w:line="288" w:lineRule="auto"/>
      </w:pPr>
      <w:r>
        <w:rPr>
          <w:color w:val="1E293B"/>
          <w:sz w:val="19"/>
        </w:rPr>
        <w:t>The Wooplix Proposal Agent is an intelligent enterprise system designed to eliminate manual proposal drafting. It ingests unstructured client requirement documents (or raw meeting notes) and automatically transforms them into a polished, executive-ready proposal within seconds, adhering strictly to the official Wooplix branding guidelines.</w:t>
      </w:r>
    </w:p>
    <w:p>
      <w:pPr>
        <w:spacing w:before="280" w:after="80"/>
      </w:pPr>
      <w:r>
        <w:rPr>
          <w:b/>
          <w:color w:val="002B49"/>
          <w:sz w:val="25"/>
        </w:rPr>
        <w:t>2. What It Delivers</w:t>
      </w:r>
    </w:p>
    <w:p>
      <w:pPr>
        <w:spacing w:after="120" w:line="288" w:lineRule="auto"/>
      </w:pPr>
      <w:r>
        <w:rPr>
          <w:color w:val="1E293B"/>
          <w:sz w:val="19"/>
        </w:rPr>
        <w:t>Every generation produces three synchronized deliverables packaged together: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120" w:type="dxa"/>
          <w:right w:w="120" w:type="dxa"/>
        </w:tblCellMar>
        <w:tblBorders>
          <w:top w:val="single" w:sz="4" w:space="0" w:color="b8c9d9"/>
          <w:bottom w:val="single" w:sz="4" w:space="0" w:color="b8c9d9"/>
          <w:left w:val="single" w:sz="4" w:space="0" w:color="b8c9d9"/>
          <w:right w:val="single" w:sz="4" w:space="0" w:color="b8c9d9"/>
          <w:insideH w:val="single" w:sz="4" w:space="0" w:color="b8c9d9"/>
          <w:insideV w:val="single" w:sz="4" w:space="0" w:color="b8c9d9"/>
        </w:tblBorders>
      </w:tblPr>
      <w:tblGrid>
        <w:gridCol w:w="5040"/>
        <w:gridCol w:w="5040"/>
      </w:tblGrid>
      <w:tr>
        <w:tc>
          <w:tcPr>
            <w:tcW w:type="dxa" w:w="3312"/>
            <w:shd w:fill="002B49"/>
          </w:tcPr>
          <w:p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6768"/>
            <w:shd w:fill="002B49"/>
          </w:tcPr>
          <w:p>
            <w:r>
              <w:rPr>
                <w:b/>
                <w:color w:val="FFFFFF"/>
                <w:sz w:val="18"/>
              </w:rPr>
              <w:t>Format &amp; Features</w:t>
            </w:r>
          </w:p>
        </w:tc>
      </w:tr>
      <w:tr>
        <w:tc>
          <w:tcPr>
            <w:tcW w:type="dxa" w:w="3312"/>
            <w:shd w:fill="edf3f8"/>
          </w:tcPr>
          <w:p>
            <w:r>
              <w:rPr>
                <w:b/>
                <w:color w:val="002B49"/>
                <w:sz w:val="17"/>
              </w:rPr>
              <w:t>📄 Branded PDF Document</w:t>
            </w:r>
          </w:p>
        </w:tc>
        <w:tc>
          <w:tcPr>
            <w:tcW w:type="dxa" w:w="6768"/>
            <w:shd w:fill="ffffff"/>
          </w:tcPr>
          <w:p>
            <w:r>
              <w:rPr>
                <w:color w:val="1E293B"/>
                <w:sz w:val="17"/>
              </w:rPr>
              <w:t>Ready for client presentation. Features official dual-logo header (Wooplix + Zoho Partner / NASSCOM), a 2-column executive cover sheet, full configuration matrix, timeline milestones, and clean footer.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b/>
                <w:color w:val="002B49"/>
                <w:sz w:val="17"/>
              </w:rPr>
              <w:t>📝 Editable Word File (.docx)</w:t>
            </w:r>
          </w:p>
        </w:tc>
        <w:tc>
          <w:tcPr>
            <w:tcW w:type="dxa" w:w="6768"/>
            <w:shd w:fill="ffffff"/>
          </w:tcPr>
          <w:p>
            <w:r>
              <w:rPr>
                <w:color w:val="1E293B"/>
                <w:sz w:val="17"/>
              </w:rPr>
              <w:t>Formatted in the Wooplix house style. Designed for sales consultants and solution architects to customize pricing, terms, or specific customer requirements.</w:t>
            </w:r>
          </w:p>
        </w:tc>
      </w:tr>
      <w:tr>
        <w:tc>
          <w:tcPr>
            <w:tcW w:type="dxa" w:w="3312"/>
            <w:shd w:fill="edf3f8"/>
          </w:tcPr>
          <w:p>
            <w:r>
              <w:rPr>
                <w:b/>
                <w:color w:val="002B49"/>
                <w:sz w:val="17"/>
              </w:rPr>
              <w:t>📦 Structured Proposal Data (.json)</w:t>
            </w:r>
          </w:p>
        </w:tc>
        <w:tc>
          <w:tcPr>
            <w:tcW w:type="dxa" w:w="6768"/>
            <w:shd w:fill="ffffff"/>
          </w:tcPr>
          <w:p>
            <w:r>
              <w:rPr>
                <w:color w:val="1E293B"/>
                <w:sz w:val="17"/>
              </w:rPr>
              <w:t>Machine-readable JSON specification containing all extracted client parameters, module mappings, and timeline data for auditing and CRM synchronization.</w:t>
            </w:r>
          </w:p>
        </w:tc>
      </w:tr>
    </w:tbl>
    <w:p>
      <w:pPr>
        <w:spacing w:before="280" w:after="80"/>
      </w:pPr>
      <w:r>
        <w:rPr>
          <w:b/>
          <w:color w:val="002B49"/>
          <w:sz w:val="25"/>
        </w:rPr>
        <w:t>3. How to Use It (Step-by-Step)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Step 1: Open the Portal: </w:t>
      </w:r>
      <w:r>
        <w:rPr>
          <w:color w:val="1E293B"/>
          <w:sz w:val="18"/>
        </w:rPr>
        <w:t>Access the live application at https://proposal-six-kappa.vercel.app/ via your browser.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Step 2: Provide Requirements: </w:t>
      </w:r>
      <w:r>
        <w:rPr>
          <w:color w:val="1E293B"/>
          <w:sz w:val="18"/>
        </w:rPr>
        <w:t>Either drag &amp; drop up to 5 requirement files (PDF, Word DOC/DOCX, TXT, or Markdown) or paste requirement notes into the text tab.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Step 3: Select Format &amp; Generate: </w:t>
      </w:r>
      <w:r>
        <w:rPr>
          <w:color w:val="1E293B"/>
          <w:sz w:val="18"/>
        </w:rPr>
        <w:t>Choose your preferred download format (PDF Document, Word DOCX, or All Files ZIP) and click "Generate Proposal".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Step 4: Review &amp; Finalize: </w:t>
      </w:r>
      <w:r>
        <w:rPr>
          <w:color w:val="1E293B"/>
          <w:sz w:val="18"/>
        </w:rPr>
        <w:t>The generated proposal downloads automatically. Review the draft, verify client-specific commercials or assumptions, and proceed with client delivery.</w:t>
      </w:r>
    </w:p>
    <w:p>
      <w:pPr>
        <w:spacing w:before="280" w:after="80"/>
      </w:pPr>
      <w:r>
        <w:rPr>
          <w:b/>
          <w:color w:val="002B49"/>
          <w:sz w:val="25"/>
        </w:rPr>
        <w:t>4. System Architecture Plan</w:t>
      </w:r>
    </w:p>
    <w:p>
      <w:pPr>
        <w:spacing w:after="120" w:line="288" w:lineRule="auto"/>
      </w:pPr>
      <w:r>
        <w:rPr>
          <w:color w:val="1E293B"/>
          <w:sz w:val="19"/>
        </w:rPr>
        <w:t>The system operates across four decoupled layers to ensure speed, accuracy, and enterprise document fidelity: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bottom w:w="80" w:type="dxa"/>
          <w:left w:w="120" w:type="dxa"/>
          <w:right w:w="120" w:type="dxa"/>
        </w:tblCellMar>
        <w:tblBorders>
          <w:top w:val="single" w:sz="4" w:space="0" w:color="b8c9d9"/>
          <w:bottom w:val="single" w:sz="4" w:space="0" w:color="b8c9d9"/>
          <w:left w:val="single" w:sz="4" w:space="0" w:color="b8c9d9"/>
          <w:right w:val="single" w:sz="4" w:space="0" w:color="b8c9d9"/>
          <w:insideH w:val="single" w:sz="4" w:space="0" w:color="b8c9d9"/>
          <w:insideV w:val="single" w:sz="4" w:space="0" w:color="b8c9d9"/>
        </w:tblBorders>
      </w:tblPr>
      <w:tblGrid>
        <w:gridCol w:w="3360"/>
        <w:gridCol w:w="3360"/>
        <w:gridCol w:w="3360"/>
      </w:tblGrid>
      <w:tr>
        <w:tc>
          <w:tcPr>
            <w:tcW w:type="dxa" w:w="2592"/>
            <w:shd w:fill="002B49"/>
          </w:tcPr>
          <w:p>
            <w:r>
              <w:rPr>
                <w:b/>
                <w:color w:val="FFFFFF"/>
                <w:sz w:val="18"/>
              </w:rPr>
              <w:t>Architecture Layer</w:t>
            </w:r>
          </w:p>
        </w:tc>
        <w:tc>
          <w:tcPr>
            <w:tcW w:type="dxa" w:w="5184"/>
            <w:shd w:fill="002B49"/>
          </w:tcPr>
          <w:p>
            <w:r>
              <w:rPr>
                <w:b/>
                <w:color w:val="FFFFFF"/>
                <w:sz w:val="18"/>
              </w:rPr>
              <w:t>Core Functionality</w:t>
            </w:r>
          </w:p>
        </w:tc>
        <w:tc>
          <w:tcPr>
            <w:tcW w:type="dxa" w:w="2304"/>
            <w:shd w:fill="002B49"/>
          </w:tcPr>
          <w:p>
            <w:r>
              <w:rPr>
                <w:b/>
                <w:color w:val="FFFFFF"/>
                <w:sz w:val="18"/>
              </w:rPr>
              <w:t>Key Technologies</w:t>
            </w:r>
          </w:p>
        </w:tc>
      </w:tr>
      <w:tr>
        <w:tc>
          <w:tcPr>
            <w:tcW w:type="dxa" w:w="2592"/>
            <w:shd w:fill="edf3f8"/>
          </w:tcPr>
          <w:p>
            <w:r>
              <w:rPr>
                <w:b/>
                <w:color w:val="002B49"/>
                <w:sz w:val="17"/>
              </w:rPr>
              <w:t>1. Input &amp; Intake Layer</w:t>
            </w:r>
          </w:p>
        </w:tc>
        <w:tc>
          <w:tcPr>
            <w:tcW w:type="dxa" w:w="5184"/>
            <w:shd w:fill="ffffff"/>
          </w:tcPr>
          <w:p>
            <w:r>
              <w:rPr>
                <w:color w:val="1E293B"/>
                <w:sz w:val="17"/>
              </w:rPr>
              <w:t>Extracts and sanitizes text from client documents across multiple formats without formatting artifacts.</w:t>
            </w:r>
          </w:p>
        </w:tc>
        <w:tc>
          <w:tcPr>
            <w:tcW w:type="dxa" w:w="2304"/>
            <w:shd w:fill="edf3f8"/>
          </w:tcPr>
          <w:p>
            <w:r>
              <w:rPr>
                <w:color w:val="475569"/>
                <w:sz w:val="17"/>
              </w:rPr>
              <w:t>FastAPI, PyPDF, python-docx, HTML5 Drag &amp; Drop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color w:val="002B49"/>
                <w:sz w:val="17"/>
              </w:rPr>
              <w:t>2. AI &amp; Solution Engine</w:t>
            </w:r>
          </w:p>
        </w:tc>
        <w:tc>
          <w:tcPr>
            <w:tcW w:type="dxa" w:w="5184"/>
            <w:shd w:fill="ffffff"/>
          </w:tcPr>
          <w:p>
            <w:r>
              <w:rPr>
                <w:color w:val="1E293B"/>
                <w:sz w:val="17"/>
              </w:rPr>
              <w:t>Analyzes client needs against Wooplix house standards and historical CRM precedents. Generates structured JSON with automated fallback resilience.</w:t>
            </w:r>
          </w:p>
        </w:tc>
        <w:tc>
          <w:tcPr>
            <w:tcW w:type="dxa" w:w="2304"/>
            <w:shd w:fill="ffffff"/>
          </w:tcPr>
          <w:p>
            <w:r>
              <w:rPr>
                <w:color w:val="475569"/>
                <w:sz w:val="17"/>
              </w:rPr>
              <w:t>Groq High-Speed LLM (openai/gpt-oss-120b, fallback models), Zoho CRM API</w:t>
            </w:r>
          </w:p>
        </w:tc>
      </w:tr>
      <w:tr>
        <w:tc>
          <w:tcPr>
            <w:tcW w:type="dxa" w:w="2592"/>
            <w:shd w:fill="edf3f8"/>
          </w:tcPr>
          <w:p>
            <w:r>
              <w:rPr>
                <w:b/>
                <w:color w:val="002B49"/>
                <w:sz w:val="17"/>
              </w:rPr>
              <w:t>3. Document Generation</w:t>
            </w:r>
          </w:p>
        </w:tc>
        <w:tc>
          <w:tcPr>
            <w:tcW w:type="dxa" w:w="5184"/>
            <w:shd w:fill="ffffff"/>
          </w:tcPr>
          <w:p>
            <w:r>
              <w:rPr>
                <w:color w:val="1E293B"/>
                <w:sz w:val="17"/>
              </w:rPr>
              <w:t>Converts structured JSON into branded executive PDF and Word files. Formats dual-logo headers, 2-column cover specs, and non-clipping footers.</w:t>
            </w:r>
          </w:p>
        </w:tc>
        <w:tc>
          <w:tcPr>
            <w:tcW w:type="dxa" w:w="2304"/>
            <w:shd w:fill="edf3f8"/>
          </w:tcPr>
          <w:p>
            <w:r>
              <w:rPr>
                <w:color w:val="475569"/>
                <w:sz w:val="17"/>
              </w:rPr>
              <w:t>Dompdf (PHP Serverless), python-docx (OpenXML)</w:t>
            </w:r>
          </w:p>
        </w:tc>
      </w:tr>
      <w:tr>
        <w:tc>
          <w:tcPr>
            <w:tcW w:type="dxa" w:w="2592"/>
            <w:shd w:fill="ffffff"/>
          </w:tcPr>
          <w:p>
            <w:r>
              <w:rPr>
                <w:b/>
                <w:color w:val="002B49"/>
                <w:sz w:val="17"/>
              </w:rPr>
              <w:t>4. Delivery &amp; Hosting</w:t>
            </w:r>
          </w:p>
        </w:tc>
        <w:tc>
          <w:tcPr>
            <w:tcW w:type="dxa" w:w="5184"/>
            <w:shd w:fill="ffffff"/>
          </w:tcPr>
          <w:p>
            <w:r>
              <w:rPr>
                <w:color w:val="1E293B"/>
                <w:sz w:val="17"/>
              </w:rPr>
              <w:t>Serverless deployment enabling zero-maintenance scalability, instant file delivery, and automated CI/CD deployment.</w:t>
            </w:r>
          </w:p>
        </w:tc>
        <w:tc>
          <w:tcPr>
            <w:tcW w:type="dxa" w:w="2304"/>
            <w:shd w:fill="ffffff"/>
          </w:tcPr>
          <w:p>
            <w:r>
              <w:rPr>
                <w:color w:val="475569"/>
                <w:sz w:val="17"/>
              </w:rPr>
              <w:t>GitHub, Vercel Serverless Functions</w:t>
            </w:r>
          </w:p>
        </w:tc>
      </w:tr>
    </w:tbl>
    <w:p>
      <w:pPr>
        <w:spacing w:before="280" w:after="80"/>
      </w:pPr>
      <w:r>
        <w:rPr>
          <w:b/>
          <w:color w:val="002B49"/>
          <w:sz w:val="25"/>
        </w:rPr>
        <w:t>5. Governance &amp; Data Privacy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• Ephemeral Processing: </w:t>
      </w:r>
      <w:r>
        <w:rPr>
          <w:color w:val="1E293B"/>
          <w:sz w:val="18"/>
        </w:rPr>
        <w:t>Uploaded customer documents and generated files are processed in-memory and temporary storage only. No customer data is retained on the server after download.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• Human-in-the-Loop Review: </w:t>
      </w:r>
      <w:r>
        <w:rPr>
          <w:color w:val="1E293B"/>
          <w:sz w:val="18"/>
        </w:rPr>
        <w:t>Proposals generated by the agent are baseline first drafts. Every proposal must be reviewed and approved by a qualified consultant before client transmission.</w:t>
      </w:r>
    </w:p>
    <w:p>
      <w:pPr>
        <w:spacing w:before="40" w:after="60"/>
        <w:ind w:left="288"/>
      </w:pPr>
      <w:r>
        <w:rPr>
          <w:b/>
          <w:color w:val="002B49"/>
          <w:sz w:val="18"/>
        </w:rPr>
        <w:t xml:space="preserve">• Access Control: </w:t>
      </w:r>
      <w:r>
        <w:rPr>
          <w:color w:val="1E293B"/>
          <w:sz w:val="18"/>
        </w:rPr>
        <w:t>Access to the web application is restricted to authorized team members.</w:t>
      </w:r>
    </w:p>
    <w:p>
      <w:pPr>
        <w:spacing w:before="280" w:after="80"/>
      </w:pPr>
      <w:r>
        <w:rPr>
          <w:b/>
          <w:color w:val="002B49"/>
          <w:sz w:val="25"/>
        </w:rPr>
        <w:t>6. Access Links</w:t>
      </w:r>
    </w:p>
    <w:p>
      <w:pPr>
        <w:spacing w:after="80"/>
      </w:pPr>
      <w:r>
        <w:rPr>
          <w:b/>
          <w:color w:val="002B49"/>
          <w:sz w:val="18"/>
        </w:rPr>
        <w:t xml:space="preserve">• Live Web Application: </w:t>
      </w:r>
      <w:r>
        <w:rPr>
          <w:color w:val="008080"/>
          <w:sz w:val="18"/>
          <w:u w:val="single"/>
        </w:rPr>
        <w:t>https://proposal-six-kappa.vercel.app/</w:t>
      </w:r>
    </w:p>
    <w:p>
      <w:pPr>
        <w:spacing w:after="120"/>
      </w:pPr>
      <w:r>
        <w:rPr>
          <w:b/>
          <w:color w:val="002B49"/>
          <w:sz w:val="18"/>
        </w:rPr>
        <w:t xml:space="preserve">• Source Code Repository: </w:t>
      </w:r>
      <w:r>
        <w:rPr>
          <w:color w:val="008080"/>
          <w:sz w:val="18"/>
          <w:u w:val="single"/>
        </w:rPr>
        <w:t>https://github.com/wooplix15-debug/proposal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</w:pPr>
    <w:r>
      <w:rPr>
        <w:b/>
        <w:color w:val="002B49"/>
        <w:sz w:val="16"/>
      </w:rPr>
      <w:t>Wooplix Technologies Private Limited  •  Confidential</w:t>
    </w:r>
    <w:r>
      <w:rPr>
        <w:color w:val="64748B"/>
        <w:sz w:val="16"/>
      </w:rPr>
      <w:t xml:space="preserve">    |    https://proposal-six-kappa.vercel.app/    |    www.wooplix.com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