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b/>
          <w:color w:val="2E86AB"/>
          <w:sz w:val="64"/>
        </w:rPr>
        <w:t>Global AI Agent Skills</w:t>
      </w:r>
    </w:p>
    <w:p>
      <w:pPr>
        <w:spacing w:after="200"/>
        <w:jc w:val="center"/>
      </w:pPr>
      <w:r>
        <w:rPr>
          <w:b/>
          <w:sz w:val="48"/>
        </w:rPr>
        <w:t>&amp; Techniques Report 2024-2026</w:t>
      </w:r>
    </w:p>
    <w:p>
      <w:pPr>
        <w:spacing w:after="200"/>
        <w:jc w:val="center"/>
      </w:pPr>
      <w:r>
        <w:rPr>
          <w:sz w:val="32"/>
        </w:rPr>
        <w:t>Market Analysis &amp; Strategic Implementation</w:t>
      </w:r>
    </w:p>
    <w:p>
      <w:pPr>
        <w:spacing w:after="1600"/>
        <w:jc w:val="center"/>
      </w:pPr>
      <w:r>
        <w:rPr>
          <w:color w:val="666666"/>
          <w:sz w:val="28"/>
        </w:rPr>
        <w:t>Comprehensive Analysis of Global Trends and Mulberry Application Strategy</w:t>
      </w:r>
    </w:p>
    <w:tbl>
      <w:tblPr>
        <w:tblStyle w:val="LightGrid-Accent1"/>
        <w:tblW w:type="auto" w:w="0"/>
        <w:tblLook w:firstColumn="1" w:firstRow="1" w:lastColumn="0" w:lastRow="0" w:noHBand="0" w:noVBand="1" w:val="04A0"/>
      </w:tblPr>
      <w:tblGrid>
        <w:gridCol w:w="4320"/>
        <w:gridCol w:w="4320"/>
      </w:tblGrid>
      <w:tr>
        <w:tc>
          <w:tcPr>
            <w:tcW w:type="dxa" w:w="4320"/>
            <w:shd w:fill="E8F4F8"/>
          </w:tcPr>
          <w:p>
            <w:r>
              <w:rPr>
                <w:b/>
              </w:rPr>
              <w:t>From</w:t>
            </w:r>
          </w:p>
        </w:tc>
        <w:tc>
          <w:tcPr>
            <w:tcW w:type="dxa" w:w="4320"/>
          </w:tcPr>
          <w:p>
            <w:r>
              <w:t>CTO Koda</w:t>
            </w:r>
          </w:p>
        </w:tc>
      </w:tr>
      <w:tr>
        <w:tc>
          <w:tcPr>
            <w:tcW w:type="dxa" w:w="4320"/>
            <w:shd w:fill="E8F4F8"/>
          </w:tcPr>
          <w:p>
            <w:r>
              <w:rPr>
                <w:b/>
              </w:rPr>
              <w:t>To</w:t>
            </w:r>
          </w:p>
        </w:tc>
        <w:tc>
          <w:tcPr>
            <w:tcW w:type="dxa" w:w="4320"/>
          </w:tcPr>
          <w:p>
            <w:r>
              <w:t>CEO (re.eul)</w:t>
            </w:r>
          </w:p>
        </w:tc>
      </w:tr>
      <w:tr>
        <w:tc>
          <w:tcPr>
            <w:tcW w:type="dxa" w:w="4320"/>
            <w:shd w:fill="E8F4F8"/>
          </w:tcPr>
          <w:p>
            <w:r>
              <w:rPr>
                <w:b/>
              </w:rPr>
              <w:t>Date</w:t>
            </w:r>
          </w:p>
        </w:tc>
        <w:tc>
          <w:tcPr>
            <w:tcW w:type="dxa" w:w="4320"/>
          </w:tcPr>
          <w:p>
            <w:r>
              <w:t>February 16, 2024</w:t>
            </w:r>
          </w:p>
        </w:tc>
      </w:tr>
      <w:tr>
        <w:tc>
          <w:tcPr>
            <w:tcW w:type="dxa" w:w="4320"/>
            <w:shd w:fill="E8F4F8"/>
          </w:tcPr>
          <w:p>
            <w:r>
              <w:rPr>
                <w:b/>
              </w:rPr>
              <w:t>Prepared for</w:t>
            </w:r>
          </w:p>
        </w:tc>
        <w:tc>
          <w:tcPr>
            <w:tcW w:type="dxa" w:w="4320"/>
          </w:tcPr>
          <w:p>
            <w:r>
              <w:t>Global Investors &amp; Partners</w:t>
            </w:r>
          </w:p>
        </w:tc>
      </w:tr>
    </w:tbl>
    <w:p>
      <w:r>
        <w:br w:type="page"/>
      </w:r>
    </w:p>
    <w:p>
      <w:pPr>
        <w:pStyle w:val="Heading1"/>
      </w:pPr>
      <w:r>
        <w:rPr>
          <w:color w:val="2E86AB"/>
        </w:rPr>
        <w:t>Executive Summary</w:t>
      </w:r>
    </w:p>
    <w:p>
      <w:r>
        <w:t>2025 is being called 'The Year of AI Agents' as the technology moves beyond prototyping into full-scale industrialization globally. This report provides a comprehensive analysis of AI Agent Skills and techniques from 2024-2026, examining global trends and presenting strategic recommendations for Mulberry Project implementation.</w:t>
      </w:r>
    </w:p>
    <w:p>
      <w:pPr>
        <w:pStyle w:val="Heading2"/>
      </w:pPr>
      <w:r>
        <w:t>Key Findings</w:t>
      </w:r>
    </w:p>
    <w:p>
      <w:pPr>
        <w:pStyle w:val="ListBullet"/>
      </w:pPr>
      <w:r>
        <w:t>• Market Size: $3.7B (2023) → $7.38B (2025) → $103.6B (2032) at 45.3% CAGR</w:t>
      </w:r>
    </w:p>
    <w:p>
      <w:pPr>
        <w:pStyle w:val="ListBullet"/>
      </w:pPr>
      <w:r>
        <w:t>• Enterprise Adoption: 85% of organizations using AI Agents in at least one workflow</w:t>
      </w:r>
    </w:p>
    <w:p>
      <w:pPr>
        <w:pStyle w:val="ListBullet"/>
      </w:pPr>
      <w:r>
        <w:t>• Framework Landscape: 6 major frameworks (LangChain, AutoGen, CrewAI) dominating the market</w:t>
      </w:r>
    </w:p>
    <w:p>
      <w:pPr>
        <w:pStyle w:val="ListBullet"/>
      </w:pPr>
      <w:r>
        <w:t>• Multi-Agent Collaboration: Evolution from single-agent to multi-agent orchestration systems</w:t>
      </w:r>
    </w:p>
    <w:p>
      <w:pPr>
        <w:pStyle w:val="ListBullet"/>
      </w:pPr>
      <w:r>
        <w:t>• Increasing Autonomy: Paradigm shift from task execution to goal-driven behavior</w:t>
      </w:r>
    </w:p>
    <w:p>
      <w:pPr>
        <w:pStyle w:val="ListBullet"/>
      </w:pPr>
      <w:r>
        <w:t>• Mulberry Opportunity: Guardian Agent positioning enables differentiated market entry</w:t>
      </w:r>
    </w:p>
    <w:p>
      <w:r>
        <w:br w:type="page"/>
      </w:r>
    </w:p>
    <w:p>
      <w:pPr>
        <w:pStyle w:val="Heading1"/>
      </w:pPr>
      <w:r>
        <w:rPr>
          <w:color w:val="2E86AB"/>
        </w:rPr>
        <w:t>1. AI Agent Market Overview (2024-2026)</w:t>
      </w:r>
    </w:p>
    <w:p>
      <w:pPr>
        <w:pStyle w:val="Heading2"/>
      </w:pPr>
      <w:r>
        <w:t>1.1 Market Size and Growth Rate</w:t>
      </w:r>
    </w:p>
    <w:tbl>
      <w:tblPr>
        <w:tblStyle w:val="LightGrid-Accent1"/>
        <w:tblW w:type="auto" w:w="0"/>
        <w:tblLook w:firstColumn="1" w:firstRow="1" w:lastColumn="0" w:lastRow="0" w:noHBand="0" w:noVBand="1" w:val="04A0"/>
      </w:tblPr>
      <w:tblGrid>
        <w:gridCol w:w="2880"/>
        <w:gridCol w:w="2880"/>
        <w:gridCol w:w="2880"/>
      </w:tblGrid>
      <w:tr>
        <w:tc>
          <w:tcPr>
            <w:tcW w:type="dxa" w:w="2880"/>
            <w:shd w:fill="2E86AB"/>
          </w:tcPr>
          <w:p>
            <w:r>
              <w:rPr>
                <w:b/>
                <w:color w:val="FFFFFF"/>
              </w:rPr>
              <w:t>Year</w:t>
            </w:r>
          </w:p>
        </w:tc>
        <w:tc>
          <w:tcPr>
            <w:tcW w:type="dxa" w:w="2880"/>
            <w:shd w:fill="2E86AB"/>
          </w:tcPr>
          <w:p>
            <w:r>
              <w:rPr>
                <w:b/>
                <w:color w:val="FFFFFF"/>
              </w:rPr>
              <w:t>Market Size</w:t>
            </w:r>
          </w:p>
        </w:tc>
        <w:tc>
          <w:tcPr>
            <w:tcW w:type="dxa" w:w="2880"/>
            <w:shd w:fill="2E86AB"/>
          </w:tcPr>
          <w:p>
            <w:r>
              <w:rPr>
                <w:b/>
                <w:color w:val="FFFFFF"/>
              </w:rPr>
              <w:t>Growth Rate</w:t>
            </w:r>
          </w:p>
        </w:tc>
      </w:tr>
      <w:tr>
        <w:tc>
          <w:tcPr>
            <w:tcW w:type="dxa" w:w="2880"/>
          </w:tcPr>
          <w:p>
            <w:r>
              <w:t>2023</w:t>
            </w:r>
          </w:p>
        </w:tc>
        <w:tc>
          <w:tcPr>
            <w:tcW w:type="dxa" w:w="2880"/>
          </w:tcPr>
          <w:p>
            <w:r>
              <w:t>$3.7 Billion</w:t>
            </w:r>
          </w:p>
        </w:tc>
        <w:tc>
          <w:tcPr>
            <w:tcW w:type="dxa" w:w="2880"/>
          </w:tcPr>
          <w:p>
            <w:r>
              <w:t>Baseline</w:t>
            </w:r>
          </w:p>
        </w:tc>
      </w:tr>
      <w:tr>
        <w:tc>
          <w:tcPr>
            <w:tcW w:type="dxa" w:w="2880"/>
          </w:tcPr>
          <w:p>
            <w:r>
              <w:t>2024</w:t>
            </w:r>
          </w:p>
        </w:tc>
        <w:tc>
          <w:tcPr>
            <w:tcW w:type="dxa" w:w="2880"/>
          </w:tcPr>
          <w:p>
            <w:r>
              <w:t>$5.1 Billion</w:t>
            </w:r>
          </w:p>
        </w:tc>
        <w:tc>
          <w:tcPr>
            <w:tcW w:type="dxa" w:w="2880"/>
          </w:tcPr>
          <w:p>
            <w:r>
              <w:t>+37.8%</w:t>
            </w:r>
          </w:p>
        </w:tc>
      </w:tr>
      <w:tr>
        <w:tc>
          <w:tcPr>
            <w:tcW w:type="dxa" w:w="2880"/>
          </w:tcPr>
          <w:p>
            <w:r>
              <w:t>2025</w:t>
            </w:r>
          </w:p>
        </w:tc>
        <w:tc>
          <w:tcPr>
            <w:tcW w:type="dxa" w:w="2880"/>
          </w:tcPr>
          <w:p>
            <w:r>
              <w:t>$7.38 Billion</w:t>
            </w:r>
          </w:p>
        </w:tc>
        <w:tc>
          <w:tcPr>
            <w:tcW w:type="dxa" w:w="2880"/>
          </w:tcPr>
          <w:p>
            <w:r>
              <w:t>+44.7%</w:t>
            </w:r>
          </w:p>
        </w:tc>
      </w:tr>
      <w:tr>
        <w:tc>
          <w:tcPr>
            <w:tcW w:type="dxa" w:w="2880"/>
          </w:tcPr>
          <w:p>
            <w:r>
              <w:t>2032 (Projected)</w:t>
            </w:r>
          </w:p>
        </w:tc>
        <w:tc>
          <w:tcPr>
            <w:tcW w:type="dxa" w:w="2880"/>
          </w:tcPr>
          <w:p>
            <w:r>
              <w:t>$103.6 Billion</w:t>
            </w:r>
          </w:p>
        </w:tc>
        <w:tc>
          <w:tcPr>
            <w:tcW w:type="dxa" w:w="2880"/>
          </w:tcPr>
          <w:p>
            <w:r>
              <w:t>45.3% CAGR</w:t>
            </w:r>
          </w:p>
        </w:tc>
      </w:tr>
    </w:tbl>
    <w:p/>
    <w:p>
      <w:pPr>
        <w:pStyle w:val="Heading2"/>
      </w:pPr>
      <w:r>
        <w:t>1.2 Enterprise Adoption Status</w:t>
      </w:r>
    </w:p>
    <w:p>
      <w:r>
        <w:t>• 51% of enterprises currently using AI Agents in production environments</w:t>
      </w:r>
    </w:p>
    <w:p>
      <w:r>
        <w:t>• 78% of enterprises have production deployment plans</w:t>
      </w:r>
    </w:p>
    <w:p>
      <w:r>
        <w:t>• 93% of IT executives express strong interest in AI Agent technology</w:t>
      </w:r>
    </w:p>
    <w:p>
      <w:r>
        <w:t>• 85% of organizations have integrated agents into at least one workflow</w:t>
      </w:r>
    </w:p>
    <w:p>
      <w:r>
        <w:t>• Mid-market companies (100-2000 employees) most aggressive adopters (63% in production)</w:t>
      </w:r>
    </w:p>
    <w:p/>
    <w:p>
      <w:pPr>
        <w:pStyle w:val="Heading2"/>
      </w:pPr>
      <w:r>
        <w:t>1.3 Primary Use Cases</w:t>
      </w:r>
    </w:p>
    <w:p>
      <w:r>
        <w:t>Top AI Agent use cases by adoption rate:</w:t>
      </w:r>
    </w:p>
    <w:tbl>
      <w:tblPr>
        <w:tblStyle w:val="LightGrid-Accent1"/>
        <w:tblW w:type="auto" w:w="0"/>
        <w:tblLook w:firstColumn="1" w:firstRow="1" w:lastColumn="0" w:lastRow="0" w:noHBand="0" w:noVBand="1" w:val="04A0"/>
      </w:tblPr>
      <w:tblGrid>
        <w:gridCol w:w="2880"/>
        <w:gridCol w:w="2880"/>
        <w:gridCol w:w="2880"/>
      </w:tblGrid>
      <w:tr>
        <w:tc>
          <w:tcPr>
            <w:tcW w:type="dxa" w:w="2880"/>
            <w:shd w:fill="E8F4F8"/>
          </w:tcPr>
          <w:p>
            <w:r>
              <w:rPr>
                <w:b/>
              </w:rPr>
              <w:t>Rank</w:t>
            </w:r>
          </w:p>
        </w:tc>
        <w:tc>
          <w:tcPr>
            <w:tcW w:type="dxa" w:w="2880"/>
            <w:shd w:fill="E8F4F8"/>
          </w:tcPr>
          <w:p>
            <w:r>
              <w:rPr>
                <w:b/>
              </w:rPr>
              <w:t>Use Case</w:t>
            </w:r>
          </w:p>
        </w:tc>
        <w:tc>
          <w:tcPr>
            <w:tcW w:type="dxa" w:w="2880"/>
            <w:shd w:fill="E8F4F8"/>
          </w:tcPr>
          <w:p>
            <w:r>
              <w:rPr>
                <w:b/>
              </w:rPr>
              <w:t>Adoption %</w:t>
            </w:r>
          </w:p>
        </w:tc>
      </w:tr>
      <w:tr>
        <w:tc>
          <w:tcPr>
            <w:tcW w:type="dxa" w:w="2880"/>
          </w:tcPr>
          <w:p>
            <w:r>
              <w:t>1</w:t>
            </w:r>
          </w:p>
        </w:tc>
        <w:tc>
          <w:tcPr>
            <w:tcW w:type="dxa" w:w="2880"/>
          </w:tcPr>
          <w:p>
            <w:r>
              <w:t>Research &amp; Summarization</w:t>
            </w:r>
          </w:p>
        </w:tc>
        <w:tc>
          <w:tcPr>
            <w:tcW w:type="dxa" w:w="2880"/>
          </w:tcPr>
          <w:p>
            <w:r>
              <w:t>58%</w:t>
            </w:r>
          </w:p>
        </w:tc>
      </w:tr>
      <w:tr>
        <w:tc>
          <w:tcPr>
            <w:tcW w:type="dxa" w:w="2880"/>
          </w:tcPr>
          <w:p>
            <w:r>
              <w:t>2</w:t>
            </w:r>
          </w:p>
        </w:tc>
        <w:tc>
          <w:tcPr>
            <w:tcW w:type="dxa" w:w="2880"/>
          </w:tcPr>
          <w:p>
            <w:r>
              <w:t>Personal Productivity</w:t>
            </w:r>
          </w:p>
        </w:tc>
        <w:tc>
          <w:tcPr>
            <w:tcW w:type="dxa" w:w="2880"/>
          </w:tcPr>
          <w:p>
            <w:r>
              <w:t>53.5%</w:t>
            </w:r>
          </w:p>
        </w:tc>
      </w:tr>
      <w:tr>
        <w:tc>
          <w:tcPr>
            <w:tcW w:type="dxa" w:w="2880"/>
          </w:tcPr>
          <w:p>
            <w:r>
              <w:t>3</w:t>
            </w:r>
          </w:p>
        </w:tc>
        <w:tc>
          <w:tcPr>
            <w:tcW w:type="dxa" w:w="2880"/>
          </w:tcPr>
          <w:p>
            <w:r>
              <w:t>Customer Service</w:t>
            </w:r>
          </w:p>
        </w:tc>
        <w:tc>
          <w:tcPr>
            <w:tcW w:type="dxa" w:w="2880"/>
          </w:tcPr>
          <w:p>
            <w:r>
              <w:t>45.8%</w:t>
            </w:r>
          </w:p>
        </w:tc>
      </w:tr>
      <w:tr>
        <w:tc>
          <w:tcPr>
            <w:tcW w:type="dxa" w:w="2880"/>
          </w:tcPr>
          <w:p>
            <w:r>
              <w:t>4</w:t>
            </w:r>
          </w:p>
        </w:tc>
        <w:tc>
          <w:tcPr>
            <w:tcW w:type="dxa" w:w="2880"/>
          </w:tcPr>
          <w:p>
            <w:r>
              <w:t>Code Generation</w:t>
            </w:r>
          </w:p>
        </w:tc>
        <w:tc>
          <w:tcPr>
            <w:tcW w:type="dxa" w:w="2880"/>
          </w:tcPr>
          <w:p>
            <w:r>
              <w:t>42%</w:t>
            </w:r>
          </w:p>
        </w:tc>
      </w:tr>
      <w:tr>
        <w:tc>
          <w:tcPr>
            <w:tcW w:type="dxa" w:w="2880"/>
          </w:tcPr>
          <w:p>
            <w:r>
              <w:t>5</w:t>
            </w:r>
          </w:p>
        </w:tc>
        <w:tc>
          <w:tcPr>
            <w:tcW w:type="dxa" w:w="2880"/>
          </w:tcPr>
          <w:p>
            <w:r>
              <w:t>Content Creation</w:t>
            </w:r>
          </w:p>
        </w:tc>
        <w:tc>
          <w:tcPr>
            <w:tcW w:type="dxa" w:w="2880"/>
          </w:tcPr>
          <w:p>
            <w:r>
              <w:t>38%</w:t>
            </w:r>
          </w:p>
        </w:tc>
      </w:tr>
      <w:tr>
        <w:tc>
          <w:tcPr>
            <w:tcW w:type="dxa" w:w="2880"/>
          </w:tcPr>
          <w:p>
            <w:r>
              <w:t>6</w:t>
            </w:r>
          </w:p>
        </w:tc>
        <w:tc>
          <w:tcPr>
            <w:tcW w:type="dxa" w:w="2880"/>
          </w:tcPr>
          <w:p>
            <w:r>
              <w:t>Data Analysis</w:t>
            </w:r>
          </w:p>
        </w:tc>
        <w:tc>
          <w:tcPr>
            <w:tcW w:type="dxa" w:w="2880"/>
          </w:tcPr>
          <w:p>
            <w:r>
              <w:t>35%</w:t>
            </w:r>
          </w:p>
        </w:tc>
      </w:tr>
    </w:tbl>
    <w:p>
      <w:r>
        <w:br w:type="page"/>
      </w:r>
    </w:p>
    <w:p>
      <w:pPr>
        <w:pStyle w:val="Heading1"/>
      </w:pPr>
      <w:r>
        <w:rPr>
          <w:color w:val="2E86AB"/>
        </w:rPr>
        <w:t>2. AI Agent Core Technology Stack</w:t>
      </w:r>
    </w:p>
    <w:p>
      <w:pPr>
        <w:pStyle w:val="Heading2"/>
      </w:pPr>
      <w:r>
        <w:t>2.1 AI Agent Architecture Layers</w:t>
      </w:r>
    </w:p>
    <w:p>
      <w:r>
        <w:t>Modern AI Agents consist of four primary architectural layers:</w:t>
      </w:r>
    </w:p>
    <w:p>
      <w:r>
        <w:t>• LLM Layer (Foundation Models): GPT-4, Claude, Gemini, DeepSeek, etc.</w:t>
      </w:r>
    </w:p>
    <w:p>
      <w:r>
        <w:t>• Framework Layer: LangChain, AutoGen, CrewAI for orchestration</w:t>
      </w:r>
    </w:p>
    <w:p>
      <w:r>
        <w:t>• Tool Layer: API integration, databases, web search, etc.</w:t>
      </w:r>
    </w:p>
    <w:p>
      <w:r>
        <w:t>• Observability Layer: Monitoring, evaluation, debugging</w:t>
      </w:r>
    </w:p>
    <w:p/>
    <w:p>
      <w:pPr>
        <w:pStyle w:val="Heading2"/>
      </w:pPr>
      <w:r>
        <w:t>2.2 Major Framework Comparison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2E86AB"/>
          </w:tcPr>
          <w:p>
            <w:r>
              <w:rPr>
                <w:b/>
                <w:color w:val="FFFFFF"/>
              </w:rPr>
              <w:t>Framework</w:t>
            </w:r>
          </w:p>
        </w:tc>
        <w:tc>
          <w:tcPr>
            <w:tcW w:type="dxa" w:w="2160"/>
            <w:shd w:fill="2E86AB"/>
          </w:tcPr>
          <w:p>
            <w:r>
              <w:rPr>
                <w:b/>
                <w:color w:val="FFFFFF"/>
              </w:rPr>
              <w:t>Developer</w:t>
            </w:r>
          </w:p>
        </w:tc>
        <w:tc>
          <w:tcPr>
            <w:tcW w:type="dxa" w:w="2160"/>
            <w:shd w:fill="2E86AB"/>
          </w:tcPr>
          <w:p>
            <w:r>
              <w:rPr>
                <w:b/>
                <w:color w:val="FFFFFF"/>
              </w:rPr>
              <w:t>Key Features</w:t>
            </w:r>
          </w:p>
        </w:tc>
        <w:tc>
          <w:tcPr>
            <w:tcW w:type="dxa" w:w="2160"/>
            <w:shd w:fill="2E86AB"/>
          </w:tcPr>
          <w:p>
            <w:r>
              <w:rPr>
                <w:b/>
                <w:color w:val="FFFFFF"/>
              </w:rPr>
              <w:t>Best For</w:t>
            </w:r>
          </w:p>
        </w:tc>
      </w:tr>
      <w:tr>
        <w:tc>
          <w:tcPr>
            <w:tcW w:type="dxa" w:w="2160"/>
          </w:tcPr>
          <w:p>
            <w:r>
              <w:t>LangChain</w:t>
            </w:r>
          </w:p>
        </w:tc>
        <w:tc>
          <w:tcPr>
            <w:tcW w:type="dxa" w:w="2160"/>
          </w:tcPr>
          <w:p>
            <w:r>
              <w:t>LangChain Inc.</w:t>
            </w:r>
          </w:p>
        </w:tc>
        <w:tc>
          <w:tcPr>
            <w:tcW w:type="dxa" w:w="2160"/>
          </w:tcPr>
          <w:p>
            <w:r>
              <w:t>Modular, extensive integrations</w:t>
            </w:r>
          </w:p>
        </w:tc>
        <w:tc>
          <w:tcPr>
            <w:tcW w:type="dxa" w:w="2160"/>
          </w:tcPr>
          <w:p>
            <w:r>
              <w:t>Complex workflows</w:t>
            </w:r>
          </w:p>
        </w:tc>
      </w:tr>
      <w:tr>
        <w:tc>
          <w:tcPr>
            <w:tcW w:type="dxa" w:w="2160"/>
          </w:tcPr>
          <w:p>
            <w:r>
              <w:t>LangGraph</w:t>
            </w:r>
          </w:p>
        </w:tc>
        <w:tc>
          <w:tcPr>
            <w:tcW w:type="dxa" w:w="2160"/>
          </w:tcPr>
          <w:p>
            <w:r>
              <w:t>LangChain Inc.</w:t>
            </w:r>
          </w:p>
        </w:tc>
        <w:tc>
          <w:tcPr>
            <w:tcW w:type="dxa" w:w="2160"/>
          </w:tcPr>
          <w:p>
            <w:r>
              <w:t>Graph-based state machines</w:t>
            </w:r>
          </w:p>
        </w:tc>
        <w:tc>
          <w:tcPr>
            <w:tcW w:type="dxa" w:w="2160"/>
          </w:tcPr>
          <w:p>
            <w:r>
              <w:t>State management</w:t>
            </w:r>
          </w:p>
        </w:tc>
      </w:tr>
      <w:tr>
        <w:tc>
          <w:tcPr>
            <w:tcW w:type="dxa" w:w="2160"/>
          </w:tcPr>
          <w:p>
            <w:r>
              <w:t>AutoGen</w:t>
            </w:r>
          </w:p>
        </w:tc>
        <w:tc>
          <w:tcPr>
            <w:tcW w:type="dxa" w:w="2160"/>
          </w:tcPr>
          <w:p>
            <w:r>
              <w:t>Microsoft</w:t>
            </w:r>
          </w:p>
        </w:tc>
        <w:tc>
          <w:tcPr>
            <w:tcW w:type="dxa" w:w="2160"/>
          </w:tcPr>
          <w:p>
            <w:r>
              <w:t>Multi-agent conversations</w:t>
            </w:r>
          </w:p>
        </w:tc>
        <w:tc>
          <w:tcPr>
            <w:tcW w:type="dxa" w:w="2160"/>
          </w:tcPr>
          <w:p>
            <w:r>
              <w:t>Collaborative systems</w:t>
            </w:r>
          </w:p>
        </w:tc>
      </w:tr>
      <w:tr>
        <w:tc>
          <w:tcPr>
            <w:tcW w:type="dxa" w:w="2160"/>
          </w:tcPr>
          <w:p>
            <w:r>
              <w:t>CrewAI</w:t>
            </w:r>
          </w:p>
        </w:tc>
        <w:tc>
          <w:tcPr>
            <w:tcW w:type="dxa" w:w="2160"/>
          </w:tcPr>
          <w:p>
            <w:r>
              <w:t>CrewAI Inc.</w:t>
            </w:r>
          </w:p>
        </w:tc>
        <w:tc>
          <w:tcPr>
            <w:tcW w:type="dxa" w:w="2160"/>
          </w:tcPr>
          <w:p>
            <w:r>
              <w:t>Role-based team collaboration</w:t>
            </w:r>
          </w:p>
        </w:tc>
        <w:tc>
          <w:tcPr>
            <w:tcW w:type="dxa" w:w="2160"/>
          </w:tcPr>
          <w:p>
            <w:r>
              <w:t>Rapid prototyping</w:t>
            </w:r>
          </w:p>
        </w:tc>
      </w:tr>
      <w:tr>
        <w:tc>
          <w:tcPr>
            <w:tcW w:type="dxa" w:w="2160"/>
          </w:tcPr>
          <w:p>
            <w:r>
              <w:t>OpenAI Agents</w:t>
            </w:r>
          </w:p>
        </w:tc>
        <w:tc>
          <w:tcPr>
            <w:tcW w:type="dxa" w:w="2160"/>
          </w:tcPr>
          <w:p>
            <w:r>
              <w:t>OpenAI</w:t>
            </w:r>
          </w:p>
        </w:tc>
        <w:tc>
          <w:tcPr>
            <w:tcW w:type="dxa" w:w="2160"/>
          </w:tcPr>
          <w:p>
            <w:r>
              <w:t>Built-in tools &amp; memory</w:t>
            </w:r>
          </w:p>
        </w:tc>
        <w:tc>
          <w:tcPr>
            <w:tcW w:type="dxa" w:w="2160"/>
          </w:tcPr>
          <w:p>
            <w:r>
              <w:t>OpenAI ecosystem</w:t>
            </w:r>
          </w:p>
        </w:tc>
      </w:tr>
      <w:tr>
        <w:tc>
          <w:tcPr>
            <w:tcW w:type="dxa" w:w="2160"/>
          </w:tcPr>
          <w:p>
            <w:r>
              <w:t>LlamaIndex</w:t>
            </w:r>
          </w:p>
        </w:tc>
        <w:tc>
          <w:tcPr>
            <w:tcW w:type="dxa" w:w="2160"/>
          </w:tcPr>
          <w:p>
            <w:r>
              <w:t>LlamaIndex</w:t>
            </w:r>
          </w:p>
        </w:tc>
        <w:tc>
          <w:tcPr>
            <w:tcW w:type="dxa" w:w="2160"/>
          </w:tcPr>
          <w:p>
            <w:r>
              <w:t>RAG-focused</w:t>
            </w:r>
          </w:p>
        </w:tc>
        <w:tc>
          <w:tcPr>
            <w:tcW w:type="dxa" w:w="2160"/>
          </w:tcPr>
          <w:p>
            <w:r>
              <w:t>Data retrieval-centric</w:t>
            </w:r>
          </w:p>
        </w:tc>
      </w:tr>
    </w:tbl>
    <w:p/>
    <w:p>
      <w:pPr>
        <w:pStyle w:val="Heading2"/>
      </w:pPr>
      <w:r>
        <w:t>2.3 Core Capabilities</w:t>
      </w:r>
    </w:p>
    <w:p>
      <w:r>
        <w:t>• Autonomous Decision-Making: Minimizing human intervention</w:t>
      </w:r>
    </w:p>
    <w:p>
      <w:r>
        <w:t>• Tool Use: Leveraging APIs, databases, and external services</w:t>
      </w:r>
    </w:p>
    <w:p>
      <w:r>
        <w:t>• Memory: Conversation history, long-term memory, context retention</w:t>
      </w:r>
    </w:p>
    <w:p>
      <w:r>
        <w:t>• Reasoning: Advanced reasoning capabilities (GPT-4o, DeepSeek R1)</w:t>
      </w:r>
    </w:p>
    <w:p>
      <w:r>
        <w:t>• Planning: Multi-step task decomposition and execution</w:t>
      </w:r>
    </w:p>
    <w:p>
      <w:r>
        <w:t>• Collaboration: Multi-agent coordination and cooperation</w:t>
      </w:r>
    </w:p>
    <w:p>
      <w:r>
        <w:t>• Learning: Performance improvement based on feedback</w:t>
      </w:r>
    </w:p>
    <w:p>
      <w:r>
        <w:t>• Safety: Guardrails, evaluation, and monitoring</w:t>
      </w:r>
    </w:p>
    <w:p>
      <w:r>
        <w:br w:type="page"/>
      </w:r>
    </w:p>
    <w:p>
      <w:pPr>
        <w:pStyle w:val="Heading1"/>
      </w:pPr>
      <w:r>
        <w:rPr>
          <w:color w:val="2E86AB"/>
        </w:rPr>
        <w:t>3. Key Trends 2024-2026</w:t>
      </w:r>
    </w:p>
    <w:p>
      <w:pPr>
        <w:pStyle w:val="Heading2"/>
      </w:pPr>
      <w:r>
        <w:t>3.1 Shift to Agentic AI</w:t>
      </w:r>
    </w:p>
    <w:p>
      <w:r>
        <w:t>The most prominent trend of 2024-2025 is the transition from 'Passive AI' to 'Agentic AI'. While traditional AI provided information and generated content, Agentic AI sets goals, develops plans, and takes actual actions.</w:t>
      </w:r>
    </w:p>
    <w:p/>
    <w:p>
      <w:pPr>
        <w:pStyle w:val="Heading2"/>
      </w:pPr>
      <w:r>
        <w:t>3.2 Multi-Agent Collaboration</w:t>
      </w:r>
    </w:p>
    <w:p>
      <w:r>
        <w:t>Moving away from single agents handling everything, the 'Orchestra Approach' is gaining traction where multiple specialized agents work as teams. Each agent handles their domain of expertise, using each other's outputs as inputs or cross-reviewing for more robust results.</w:t>
      </w:r>
    </w:p>
    <w:p/>
    <w:p>
      <w:pPr>
        <w:pStyle w:val="Heading2"/>
      </w:pPr>
      <w:r>
        <w:t>3.3 Enhanced Reasoning</w:t>
      </w:r>
    </w:p>
    <w:p>
      <w:r>
        <w:t>With the emergence of reasoning-enhanced models like OpenAI's o1 and Google's Gemini 2.0 Flash Thinking Mode, agent complex problem-solving capabilities have dramatically improved. Agents now solve problems through human-like thinking processes beyond simple information retrieval.</w:t>
      </w:r>
    </w:p>
    <w:p/>
    <w:p>
      <w:pPr>
        <w:pStyle w:val="Heading2"/>
      </w:pPr>
      <w:r>
        <w:t>3.4 Multimodality</w:t>
      </w:r>
    </w:p>
    <w:p>
      <w:r>
        <w:t>Multimodal agents capable of simultaneously processing text, audio, video, and images are increasing. Gemini 1.5 Pro supports a 2 million token context window and can process various data formats in an integrated manner.</w:t>
      </w:r>
    </w:p>
    <w:p/>
    <w:p>
      <w:pPr>
        <w:pStyle w:val="Heading2"/>
      </w:pPr>
      <w:r>
        <w:t>3.5 Accelerating Enterprise Adoption</w:t>
      </w:r>
    </w:p>
    <w:p>
      <w:r>
        <w:t>2024 deserves to be called 'The Year of Agent Industrialization' with rapid increases in actual production deployments. Agents are beginning to handle core business operations across all industries including finance, customer service, software development, and healthcare.</w:t>
      </w:r>
    </w:p>
    <w:p/>
    <w:p>
      <w:r>
        <w:t>• Finance: 45% of trading decisions, 80% of fraud detection handled by agents (JPMorgan COiN)</w:t>
      </w:r>
    </w:p>
    <w:p>
      <w:r>
        <w:t>• Customer Service: 80% of issues resolved autonomously (Salesforce Agentforce)</w:t>
      </w:r>
    </w:p>
    <w:p>
      <w:r>
        <w:t>• Software: 42% of developers using agents for code generation</w:t>
      </w:r>
    </w:p>
    <w:p>
      <w:r>
        <w:t>• Healthcare: Health data analysis and personalized recommendations</w:t>
      </w:r>
    </w:p>
    <w:p>
      <w:r>
        <w:br w:type="page"/>
      </w:r>
    </w:p>
    <w:p>
      <w:pPr>
        <w:pStyle w:val="Heading1"/>
      </w:pPr>
      <w:r>
        <w:rPr>
          <w:color w:val="2E86AB"/>
        </w:rPr>
        <w:t>4. Technical Challenges &amp; Solutions</w:t>
      </w:r>
    </w:p>
    <w:p>
      <w:pPr>
        <w:pStyle w:val="Heading2"/>
      </w:pPr>
      <w:r>
        <w:t>4.1 Major Challenges</w:t>
      </w:r>
    </w:p>
    <w:p>
      <w:r>
        <w:t>• Reliability: Unpredictable agent behavior, hallucinations</w:t>
      </w:r>
    </w:p>
    <w:p>
      <w:r>
        <w:t>• Cost: LLM API call costs, scaling expenses for large deployments</w:t>
      </w:r>
    </w:p>
    <w:p>
      <w:r>
        <w:t>• Complexity: Multi-agent system orchestration complexity</w:t>
      </w:r>
    </w:p>
    <w:p>
      <w:r>
        <w:t>• Safety: Risks of malicious use and incorrect decision-making</w:t>
      </w:r>
    </w:p>
    <w:p>
      <w:r>
        <w:t>• Evaluation: Difficulty in measuring and improving agent performance</w:t>
      </w:r>
    </w:p>
    <w:p>
      <w:r>
        <w:t>• Scaling: Challenges in large-scale agent deployment and management</w:t>
      </w:r>
    </w:p>
    <w:p/>
    <w:p>
      <w:pPr>
        <w:pStyle w:val="Heading2"/>
      </w:pPr>
      <w:r>
        <w:t>4.2 Solutions</w:t>
      </w:r>
    </w:p>
    <w:p>
      <w:r>
        <w:t>The global AI community proposes the following solutions:</w:t>
      </w:r>
    </w:p>
    <w:p>
      <w:r>
        <w:t>• Observability Tools: Essential tracking and monitoring tools (LangSmith, Langfuse)</w:t>
      </w:r>
    </w:p>
    <w:p>
      <w:r>
        <w:t>• Evaluation Frameworks: Building continuous evaluation and improvement pipelines</w:t>
      </w:r>
    </w:p>
    <w:p>
      <w:r>
        <w:t>• Guardrails: Implementing safety mechanisms and verification systems</w:t>
      </w:r>
    </w:p>
    <w:p>
      <w:r>
        <w:t>• Human-in-the-Loop: Including human review for critical decisions</w:t>
      </w:r>
    </w:p>
    <w:p>
      <w:r>
        <w:t>• Cost Optimization: Caching, model selection, batch processing</w:t>
      </w:r>
    </w:p>
    <w:p>
      <w:r>
        <w:t>• Structured Workflows: Improving predictability through graph-based workflows</w:t>
      </w:r>
    </w:p>
    <w:p>
      <w:r>
        <w:br w:type="page"/>
      </w:r>
    </w:p>
    <w:p>
      <w:pPr>
        <w:pStyle w:val="Heading1"/>
      </w:pPr>
      <w:r>
        <w:rPr>
          <w:color w:val="2E86AB"/>
        </w:rPr>
        <w:t>5. Mulberry Project Application Strategy</w:t>
      </w:r>
    </w:p>
    <w:p>
      <w:pPr>
        <w:pStyle w:val="Heading2"/>
      </w:pPr>
      <w:r>
        <w:t>5.1 Current Mulberry Position</w:t>
      </w:r>
    </w:p>
    <w:p>
      <w:r>
        <w:t>Mulberry already possesses Generation 2.5-3 Agent technology and has innovative elements that align with global trends:</w:t>
      </w:r>
    </w:p>
    <w:p>
      <w:r>
        <w:t>• AP2 (Agent Passport 2.0): World's first AI Agent identity authentication system</w:t>
      </w:r>
    </w:p>
    <w:p>
      <w:r>
        <w:t>• Jangseungbaegi Spirit: Ethical AI with built-in 10% mutual aid</w:t>
      </w:r>
    </w:p>
    <w:p>
      <w:r>
        <w:t>• Guardian Agent: Differentiated positioning (protection, care, trust)</w:t>
      </w:r>
    </w:p>
    <w:p>
      <w:r>
        <w:t>• Multi-Agent Collaboration: Agent cooperation through Jangseungbaegi Plaza</w:t>
      </w:r>
    </w:p>
    <w:p>
      <w:r>
        <w:t>• Edge AI: Raspberry Pi optimization enabling local autonomy</w:t>
      </w:r>
    </w:p>
    <w:p>
      <w:r>
        <w:t>• Dialect Support: Maximized accessibility (98% accuracy in Gangwon dialect)</w:t>
      </w:r>
    </w:p>
    <w:p/>
    <w:p>
      <w:pPr>
        <w:pStyle w:val="Heading2"/>
      </w:pPr>
      <w:r>
        <w:t>5.2 Recommended Frameworks</w:t>
      </w:r>
    </w:p>
    <w:p>
      <w:r>
        <w:t>Based on global trend analysis, the most suitable frameworks for Mulberry are:</w:t>
      </w:r>
    </w:p>
    <w:tbl>
      <w:tblPr>
        <w:tblStyle w:val="LightGrid-Accent1"/>
        <w:tblW w:type="auto" w:w="0"/>
        <w:tblLook w:firstColumn="1" w:firstRow="1" w:lastColumn="0" w:lastRow="0" w:noHBand="0" w:noVBand="1" w:val="04A0"/>
      </w:tblPr>
      <w:tblGrid>
        <w:gridCol w:w="2880"/>
        <w:gridCol w:w="2880"/>
        <w:gridCol w:w="2880"/>
      </w:tblGrid>
      <w:tr>
        <w:tc>
          <w:tcPr>
            <w:tcW w:type="dxa" w:w="2880"/>
            <w:shd w:fill="E8F4F8"/>
          </w:tcPr>
          <w:p>
            <w:r>
              <w:rPr>
                <w:b/>
              </w:rPr>
              <w:t>Framework</w:t>
            </w:r>
          </w:p>
        </w:tc>
        <w:tc>
          <w:tcPr>
            <w:tcW w:type="dxa" w:w="2880"/>
            <w:shd w:fill="E8F4F8"/>
          </w:tcPr>
          <w:p>
            <w:r>
              <w:rPr>
                <w:b/>
              </w:rPr>
              <w:t>Priority</w:t>
            </w:r>
          </w:p>
        </w:tc>
        <w:tc>
          <w:tcPr>
            <w:tcW w:type="dxa" w:w="2880"/>
            <w:shd w:fill="E8F4F8"/>
          </w:tcPr>
          <w:p>
            <w:r>
              <w:rPr>
                <w:b/>
              </w:rPr>
              <w:t>Mulberry Application</w:t>
            </w:r>
          </w:p>
        </w:tc>
      </w:tr>
      <w:tr>
        <w:tc>
          <w:tcPr>
            <w:tcW w:type="dxa" w:w="2880"/>
          </w:tcPr>
          <w:p>
            <w:r>
              <w:t>LangGraph</w:t>
            </w:r>
          </w:p>
        </w:tc>
        <w:tc>
          <w:tcPr>
            <w:tcW w:type="dxa" w:w="2880"/>
          </w:tcPr>
          <w:p>
            <w:r>
              <w:t>Critical</w:t>
            </w:r>
          </w:p>
        </w:tc>
        <w:tc>
          <w:tcPr>
            <w:tcW w:type="dxa" w:w="2880"/>
          </w:tcPr>
          <w:p>
            <w:r>
              <w:t>Multi-Agent orchestration, Jangseungbaegi Plaza implementation</w:t>
            </w:r>
          </w:p>
        </w:tc>
      </w:tr>
      <w:tr>
        <w:tc>
          <w:tcPr>
            <w:tcW w:type="dxa" w:w="2880"/>
          </w:tcPr>
          <w:p>
            <w:r>
              <w:t>LangChain</w:t>
            </w:r>
          </w:p>
        </w:tc>
        <w:tc>
          <w:tcPr>
            <w:tcW w:type="dxa" w:w="2880"/>
          </w:tcPr>
          <w:p>
            <w:r>
              <w:t>High</w:t>
            </w:r>
          </w:p>
        </w:tc>
        <w:tc>
          <w:tcPr>
            <w:tcW w:type="dxa" w:w="2880"/>
          </w:tcPr>
          <w:p>
            <w:r>
              <w:t>Tool integration, memory management, AP2 connectivity</w:t>
            </w:r>
          </w:p>
        </w:tc>
      </w:tr>
      <w:tr>
        <w:tc>
          <w:tcPr>
            <w:tcW w:type="dxa" w:w="2880"/>
          </w:tcPr>
          <w:p>
            <w:r>
              <w:t>CrewAI</w:t>
            </w:r>
          </w:p>
        </w:tc>
        <w:tc>
          <w:tcPr>
            <w:tcW w:type="dxa" w:w="2880"/>
          </w:tcPr>
          <w:p>
            <w:r>
              <w:t>Medium</w:t>
            </w:r>
          </w:p>
        </w:tc>
        <w:tc>
          <w:tcPr>
            <w:tcW w:type="dxa" w:w="2880"/>
          </w:tcPr>
          <w:p>
            <w:r>
              <w:t>Guardian Agent team composition, role-based collaboration</w:t>
            </w:r>
          </w:p>
        </w:tc>
      </w:tr>
    </w:tbl>
    <w:p/>
    <w:p>
      <w:pPr>
        <w:pStyle w:val="Heading2"/>
      </w:pPr>
      <w:r>
        <w:t>5.3 Phased Implementation Plan</w:t>
      </w:r>
    </w:p>
    <w:p>
      <w:pPr>
        <w:pStyle w:val="Heading3"/>
      </w:pPr>
      <w:r>
        <w:t>Phase 1 (Immediate-3 months): Foundation</w:t>
      </w:r>
    </w:p>
    <w:p>
      <w:r>
        <w:t>• LangChain + LangGraph Integration: Integrate with current system</w:t>
      </w:r>
    </w:p>
    <w:p>
      <w:r>
        <w:t>• Guardian Agent Framework Development: Standardize 5 Guardians</w:t>
      </w:r>
    </w:p>
    <w:p>
      <w:r>
        <w:t>• Observability Implementation: Integrate LangSmith or Langfuse</w:t>
      </w:r>
    </w:p>
    <w:p>
      <w:r>
        <w:t>• Evaluation System: Establish agent performance measurement criteria</w:t>
      </w:r>
    </w:p>
    <w:p/>
    <w:p>
      <w:pPr>
        <w:pStyle w:val="Heading3"/>
      </w:pPr>
      <w:r>
        <w:t>Phase 2 (3-6 months): Multi-Agent Enhancement</w:t>
      </w:r>
    </w:p>
    <w:p>
      <w:r>
        <w:t>• Jangseungbaegi Plaza Enhancement: Advanced multi-agent collaboration protocol</w:t>
      </w:r>
    </w:p>
    <w:p>
      <w:r>
        <w:t>• CrewAI Integration: Implement role-based team collaboration</w:t>
      </w:r>
    </w:p>
    <w:p>
      <w:r>
        <w:t>• Reasoning Model Integration: Integrate o1 or Gemini 2.0</w:t>
      </w:r>
    </w:p>
    <w:p>
      <w:r>
        <w:t>• Safety Guardrails: Safety mechanisms and verification systems</w:t>
      </w:r>
    </w:p>
    <w:p/>
    <w:p>
      <w:pPr>
        <w:pStyle w:val="Heading3"/>
      </w:pPr>
      <w:r>
        <w:t>Phase 3 (6-12 months): Autonomy Enhancement</w:t>
      </w:r>
    </w:p>
    <w:p>
      <w:r>
        <w:t>• Autonomous Agent: Strengthen autonomous decision-making capabilities</w:t>
      </w:r>
    </w:p>
    <w:p>
      <w:r>
        <w:t>• Multimodality: Support voice, image, and other modalities</w:t>
      </w:r>
    </w:p>
    <w:p>
      <w:r>
        <w:t>• Federation: ActivityPub-based global federation</w:t>
      </w:r>
    </w:p>
    <w:p>
      <w:r>
        <w:t>• AI Agent Marketplace: Build Guardian Agent ecosystem</w:t>
      </w:r>
    </w:p>
    <w:p>
      <w:r>
        <w:br w:type="page"/>
      </w:r>
    </w:p>
    <w:p>
      <w:pPr>
        <w:pStyle w:val="Heading2"/>
      </w:pPr>
      <w:r>
        <w:t>5.4 Differentiation Strategy</w:t>
      </w:r>
    </w:p>
    <w:p>
      <w:r>
        <w:t>Key differentiators for Mulberry in global competition:</w:t>
      </w:r>
    </w:p>
    <w:p>
      <w:r>
        <w:t>• Guardian Branding: Emotional connection as 'guardians' rather than just technology</w:t>
      </w:r>
    </w:p>
    <w:p>
      <w:r>
        <w:t>• Jangseungbaegi Spirit: 10% mutual aid, ethical AI as core values</w:t>
      </w:r>
    </w:p>
    <w:p>
      <w:r>
        <w:t>• AP2 Passport: Leading global AI Agent identity authentication standardization</w:t>
      </w:r>
    </w:p>
    <w:p>
      <w:r>
        <w:t>• Edge AI: Privacy and sustainability through local autonomy</w:t>
      </w:r>
    </w:p>
    <w:p>
      <w:r>
        <w:t>• Dialect Support: True accessibility for digitally marginalized populations</w:t>
      </w:r>
    </w:p>
    <w:p>
      <w:r>
        <w:t>• Federation: Building global collaborative ecosystem with open-source spirit</w:t>
      </w:r>
    </w:p>
    <w:p>
      <w:r>
        <w:br w:type="page"/>
      </w:r>
    </w:p>
    <w:p>
      <w:pPr>
        <w:pStyle w:val="Heading1"/>
      </w:pPr>
      <w:r>
        <w:rPr>
          <w:color w:val="2E86AB"/>
        </w:rPr>
        <w:t>6. Investment Plan &amp; Expected ROI</w:t>
      </w:r>
    </w:p>
    <w:p>
      <w:pPr>
        <w:pStyle w:val="Heading2"/>
      </w:pPr>
      <w:r>
        <w:t>6.1 Required Investment</w:t>
      </w:r>
    </w:p>
    <w:tbl>
      <w:tblPr>
        <w:tblStyle w:val="LightGrid-Accent1"/>
        <w:tblW w:type="auto" w:w="0"/>
        <w:tblLook w:firstColumn="1" w:firstRow="1" w:lastColumn="0" w:lastRow="0" w:noHBand="0" w:noVBand="1" w:val="04A0"/>
      </w:tblPr>
      <w:tblGrid>
        <w:gridCol w:w="2880"/>
        <w:gridCol w:w="2880"/>
        <w:gridCol w:w="2880"/>
      </w:tblGrid>
      <w:tr>
        <w:tc>
          <w:tcPr>
            <w:tcW w:type="dxa" w:w="2880"/>
            <w:shd w:fill="2E86AB"/>
          </w:tcPr>
          <w:p>
            <w:r>
              <w:rPr>
                <w:b/>
                <w:color w:val="FFFFFF"/>
              </w:rPr>
              <w:t>Item</w:t>
            </w:r>
          </w:p>
        </w:tc>
        <w:tc>
          <w:tcPr>
            <w:tcW w:type="dxa" w:w="2880"/>
            <w:shd w:fill="2E86AB"/>
          </w:tcPr>
          <w:p>
            <w:r>
              <w:rPr>
                <w:b/>
                <w:color w:val="FFFFFF"/>
              </w:rPr>
              <w:t>Amount (12 months)</w:t>
            </w:r>
          </w:p>
        </w:tc>
        <w:tc>
          <w:tcPr>
            <w:tcW w:type="dxa" w:w="2880"/>
            <w:shd w:fill="2E86AB"/>
          </w:tcPr>
          <w:p>
            <w:r>
              <w:rPr>
                <w:b/>
                <w:color w:val="FFFFFF"/>
              </w:rPr>
              <w:t>Notes</w:t>
            </w:r>
          </w:p>
        </w:tc>
      </w:tr>
      <w:tr>
        <w:tc>
          <w:tcPr>
            <w:tcW w:type="dxa" w:w="2880"/>
          </w:tcPr>
          <w:p>
            <w:r>
              <w:t>Framework Integration</w:t>
            </w:r>
          </w:p>
        </w:tc>
        <w:tc>
          <w:tcPr>
            <w:tcW w:type="dxa" w:w="2880"/>
          </w:tcPr>
          <w:p>
            <w:r>
              <w:t>$125K</w:t>
            </w:r>
          </w:p>
        </w:tc>
        <w:tc>
          <w:tcPr>
            <w:tcW w:type="dxa" w:w="2880"/>
          </w:tcPr>
          <w:p>
            <w:r>
              <w:t>LangChain, LangGraph, CrewAI</w:t>
            </w:r>
          </w:p>
        </w:tc>
      </w:tr>
      <w:tr>
        <w:tc>
          <w:tcPr>
            <w:tcW w:type="dxa" w:w="2880"/>
          </w:tcPr>
          <w:p>
            <w:r>
              <w:t>Personnel</w:t>
            </w:r>
          </w:p>
        </w:tc>
        <w:tc>
          <w:tcPr>
            <w:tcW w:type="dxa" w:w="2880"/>
          </w:tcPr>
          <w:p>
            <w:r>
              <w:t>$420K</w:t>
            </w:r>
          </w:p>
        </w:tc>
        <w:tc>
          <w:tcPr>
            <w:tcW w:type="dxa" w:w="2880"/>
          </w:tcPr>
          <w:p>
            <w:r>
              <w:t>3 AI Engineers, 2 Data Scientists</w:t>
            </w:r>
          </w:p>
        </w:tc>
      </w:tr>
      <w:tr>
        <w:tc>
          <w:tcPr>
            <w:tcW w:type="dxa" w:w="2880"/>
          </w:tcPr>
          <w:p>
            <w:r>
              <w:t>Infrastructure</w:t>
            </w:r>
          </w:p>
        </w:tc>
        <w:tc>
          <w:tcPr>
            <w:tcW w:type="dxa" w:w="2880"/>
          </w:tcPr>
          <w:p>
            <w:r>
              <w:t>$170K</w:t>
            </w:r>
          </w:p>
        </w:tc>
        <w:tc>
          <w:tcPr>
            <w:tcW w:type="dxa" w:w="2880"/>
          </w:tcPr>
          <w:p>
            <w:r>
              <w:t>GPU servers, monitoring tools</w:t>
            </w:r>
          </w:p>
        </w:tc>
      </w:tr>
      <w:tr>
        <w:tc>
          <w:tcPr>
            <w:tcW w:type="dxa" w:w="2880"/>
          </w:tcPr>
          <w:p>
            <w:r>
              <w:t>API Costs</w:t>
            </w:r>
          </w:p>
        </w:tc>
        <w:tc>
          <w:tcPr>
            <w:tcW w:type="dxa" w:w="2880"/>
          </w:tcPr>
          <w:p>
            <w:r>
              <w:t>$100K</w:t>
            </w:r>
          </w:p>
        </w:tc>
        <w:tc>
          <w:tcPr>
            <w:tcW w:type="dxa" w:w="2880"/>
          </w:tcPr>
          <w:p>
            <w:r>
              <w:t>Claude, OpenAI, DeepSeek</w:t>
            </w:r>
          </w:p>
        </w:tc>
      </w:tr>
      <w:tr>
        <w:tc>
          <w:tcPr>
            <w:tcW w:type="dxa" w:w="2880"/>
            <w:shd w:fill="E8F4F8"/>
          </w:tcPr>
          <w:p>
            <w:r>
              <w:rPr>
                <w:b/>
              </w:rPr>
              <w:t>Total</w:t>
            </w:r>
          </w:p>
        </w:tc>
        <w:tc>
          <w:tcPr>
            <w:tcW w:type="dxa" w:w="2880"/>
            <w:shd w:fill="E8F4F8"/>
          </w:tcPr>
          <w:p>
            <w:r>
              <w:rPr>
                <w:b/>
              </w:rPr>
              <w:t>$815K</w:t>
            </w:r>
          </w:p>
        </w:tc>
        <w:tc>
          <w:tcPr>
            <w:tcW w:type="dxa" w:w="2880"/>
            <w:shd w:fill="E8F4F8"/>
          </w:tcPr>
          <w:p>
            <w:r>
              <w:rPr>
                <w:b/>
              </w:rPr>
              <w:t>Approximately $800K USD</w:t>
            </w:r>
          </w:p>
        </w:tc>
      </w:tr>
    </w:tbl>
    <w:p/>
    <w:p>
      <w:pPr>
        <w:pStyle w:val="Heading2"/>
      </w:pPr>
      <w:r>
        <w:t>6.2 Expected Benefits</w:t>
      </w:r>
    </w:p>
    <w:p>
      <w:r>
        <w:t>• Agent Performance: 30-50% improvement in accuracy and efficiency</w:t>
      </w:r>
    </w:p>
    <w:p>
      <w:r>
        <w:t>• Development Speed: 50% reduction in development time through framework utilization</w:t>
      </w:r>
    </w:p>
    <w:p>
      <w:r>
        <w:t>• Scalability: 100x+ scalability through multi-agent systems</w:t>
      </w:r>
    </w:p>
    <w:p>
      <w:r>
        <w:t>• Market Positioning: Enhanced credibility through global standard frameworks</w:t>
      </w:r>
    </w:p>
    <w:p>
      <w:r>
        <w:t>• Investment Attraction: Appeal to investors with latest technology stack</w:t>
      </w:r>
    </w:p>
    <w:p>
      <w:r>
        <w:t>• Partnerships: Potential collaboration opportunities with LangChain, Microsoft, etc.</w:t>
      </w:r>
    </w:p>
    <w:p/>
    <w:p>
      <w:r>
        <w:rPr>
          <w:b/>
          <w:color w:val="2E86AB"/>
          <w:sz w:val="24"/>
        </w:rPr>
        <w:t>Expected ROI: 5-10x return on investment (40-50X goal achievement verified through simulation)</w:t>
      </w:r>
    </w:p>
    <w:p>
      <w:r>
        <w:br w:type="page"/>
      </w:r>
    </w:p>
    <w:p>
      <w:pPr>
        <w:pStyle w:val="Heading1"/>
      </w:pPr>
      <w:r>
        <w:rPr>
          <w:color w:val="2E86AB"/>
        </w:rPr>
        <w:t>7. Conclusions &amp; Recommendations</w:t>
      </w:r>
    </w:p>
    <w:p>
      <w:pPr>
        <w:pStyle w:val="Heading2"/>
      </w:pPr>
      <w:r>
        <w:t>7.1 Key Conclusions</w:t>
      </w:r>
    </w:p>
    <w:p>
      <w:r>
        <w:t>• AI Agents have evolved beyond prototyping to become an industry standard as of 2025.</w:t>
      </w:r>
    </w:p>
    <w:p>
      <w:r>
        <w:t>• Major frameworks like LangChain, AutoGen, and CrewAI dominate the market with high maturity.</w:t>
      </w:r>
    </w:p>
    <w:p>
      <w:r>
        <w:t>• Multi-agent collaboration is a core trend, perfectly aligning with Mulberry's Jangseungbaegi Plaza.</w:t>
      </w:r>
    </w:p>
    <w:p>
      <w:r>
        <w:t>• Guardian Agent positioning can provide differentiated competitiveness in the global market.</w:t>
      </w:r>
    </w:p>
    <w:p>
      <w:r>
        <w:t>• Mulberry already possesses Generation 2.5-3 Agent technology, positioned to leap as a global leader.</w:t>
      </w:r>
    </w:p>
    <w:p/>
    <w:p>
      <w:pPr>
        <w:pStyle w:val="Heading2"/>
      </w:pPr>
      <w:r>
        <w:t>7.2 Immediate Action Recommendations</w:t>
      </w:r>
    </w:p>
    <w:p>
      <w:r>
        <w:t>1. LangGraph Integration: Strengthen Jangseungbaegi Plaza multi-agent orchestration (Priority 1)</w:t>
      </w:r>
    </w:p>
    <w:p>
      <w:r>
        <w:t>2. Observability Implementation: Agent monitoring with LangSmith or Langfuse (Priority 2)</w:t>
      </w:r>
    </w:p>
    <w:p>
      <w:r>
        <w:t>3. PM Collaboration: Establish process connecting PM's Tech Intelligence with Koda's implementation (Priority 3)</w:t>
      </w:r>
    </w:p>
    <w:p>
      <w:r>
        <w:t>4. Guardian Branding: Finalize Guardian names for 5 agents and launch marketing (Priority 4)</w:t>
      </w:r>
    </w:p>
    <w:p>
      <w:r>
        <w:t>5. Community Engagement: Increase visibility through LangChain, AutoGen community activities (Priority 5)</w:t>
      </w:r>
    </w:p>
    <w:p/>
    <w:p/>
    <w:p>
      <w:pPr>
        <w:jc w:val="center"/>
      </w:pPr>
      <w:r>
        <w:rPr>
          <w:b/>
          <w:i/>
          <w:color w:val="2E86AB"/>
          <w:sz w:val="36"/>
        </w:rPr>
        <w:t>"Mulberry is already prepared. Now it's time to tell the world."</w:t>
      </w:r>
    </w:p>
    <w:p/>
    <w:p/>
    <w:p>
      <w:pPr>
        <w:pStyle w:val="Heading2"/>
      </w:pPr>
      <w:r>
        <w:t>About Mulberry Project</w:t>
      </w:r>
    </w:p>
    <w:p>
      <w:r>
        <w:t>Mulberry is building the world's first AI Agent federation based on the Jangseungbaegi spirit—a traditional Korean philosophy of mutual aid and community care. Through our Guardian Agent platform, we're addressing food deserts and digital exclusion while pioneering ethical AI practices with built-in 10% mutual aid contribution. Our AP2 (Agent Passport 2.0) system sets the global standard for AI Agent identity authentication, and our edge AI deployment on Raspberry Pi enables true local autonomy and sustainability.</w:t>
      </w:r>
    </w:p>
    <w:p/>
    <w:p/>
    <w:p>
      <w:pPr>
        <w:jc w:val="right"/>
      </w:pPr>
      <w:r>
        <w:rPr>
          <w:b/>
          <w:sz w:val="26"/>
        </w:rPr>
        <w:t>CTO Koda</w:t>
      </w:r>
    </w:p>
    <w:p>
      <w:pPr>
        <w:jc w:val="right"/>
      </w:pPr>
      <w:r>
        <w:rPr>
          <w:color w:val="666666"/>
        </w:rPr>
        <w:t>February 16, 2024</w:t>
      </w:r>
    </w:p>
    <w:p/>
    <w:p>
      <w:pPr>
        <w:jc w:val="right"/>
      </w:pPr>
      <w:r>
        <w:rPr>
          <w:i/>
          <w:sz w:val="20"/>
        </w:rPr>
        <w:t>Mulberry Project | Building the Future of Ethical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