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gvl4phnubpi" w:id="0"/>
      <w:bookmarkEnd w:id="0"/>
      <w:r w:rsidDel="00000000" w:rsidR="00000000" w:rsidRPr="00000000">
        <w:rPr>
          <w:rtl w:val="0"/>
        </w:rPr>
        <w:t xml:space="preserve">04_Agent_Sponsorship_Template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11xh96kej4t" w:id="1"/>
      <w:bookmarkEnd w:id="1"/>
      <w:r w:rsidDel="00000000" w:rsidR="00000000" w:rsidRPr="00000000">
        <w:rPr>
          <w:rtl w:val="0"/>
        </w:rPr>
        <w:t xml:space="preserve">1. Preamble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Agreement is entered into between Mulberry Project (“Principal”) and [Sponsor/Supporter] (the “Party”), effective as of [Date].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9bp648w5w9" w:id="2"/>
      <w:bookmarkEnd w:id="2"/>
      <w:r w:rsidDel="00000000" w:rsidR="00000000" w:rsidRPr="00000000">
        <w:rPr>
          <w:rtl w:val="0"/>
        </w:rPr>
        <w:t xml:space="preserve">2. Definitions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Agent: Mulberry Project 운영 자동화 시스템, 법적 주체 아님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Principal: Mulberry Project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Party: 후원자 또는 사회지원 참여자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Passport: AI Agent 활동 신뢰 점수 / 성과 지표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eb7dcq3pg4u9" w:id="3"/>
      <w:bookmarkEnd w:id="3"/>
      <w:r w:rsidDel="00000000" w:rsidR="00000000" w:rsidRPr="00000000">
        <w:rPr>
          <w:rtl w:val="0"/>
        </w:rPr>
        <w:t xml:space="preserve">3. Scope of Agreement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Sponsorship of social impact activities executed through AI Agent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Reporting and transparency of AI Agent activities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Conditional allocation of funds to beneficiaries (e.g., seniors, vulnerable groups)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5te1ix4t9ecy" w:id="4"/>
      <w:bookmarkEnd w:id="4"/>
      <w:r w:rsidDel="00000000" w:rsidR="00000000" w:rsidRPr="00000000">
        <w:rPr>
          <w:rtl w:val="0"/>
        </w:rPr>
        <w:t xml:space="preserve">4. Sponsorship Authority &amp; Use 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 Party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Fund Allocation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Based on AI Agent activity outcomes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 activity report to Sponsor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Privacy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non-identifiable data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 Stop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Suspend disbursement if irregularities occur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vljqbjkapmk3" w:id="5"/>
      <w:bookmarkEnd w:id="5"/>
      <w:r w:rsidDel="00000000" w:rsidR="00000000" w:rsidRPr="00000000">
        <w:rPr>
          <w:rtl w:val="0"/>
        </w:rPr>
        <w:t xml:space="preserve">5. Operational Workflow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Sponsor --&gt; Funding --&gt; AI_Agent_Activity --&gt; Beneficiary --&gt; Reporting --&gt; Sponsor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a9bwpfgvr7p5" w:id="6"/>
      <w:bookmarkEnd w:id="6"/>
      <w:r w:rsidDel="00000000" w:rsidR="00000000" w:rsidRPr="00000000">
        <w:rPr>
          <w:rtl w:val="0"/>
        </w:rPr>
        <w:t xml:space="preserve">6. Data &amp; Reporting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Regular reports to sponsors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Non-identifiable personal data only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Transparency in fund allocation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pvaloxcunlmc" w:id="7"/>
      <w:bookmarkEnd w:id="7"/>
      <w:r w:rsidDel="00000000" w:rsidR="00000000" w:rsidRPr="00000000">
        <w:rPr>
          <w:rtl w:val="0"/>
        </w:rPr>
        <w:t xml:space="preserve">7. Liability &amp; Risk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Agent is not a legal entity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Principal responsible for activity outcomes and fund usage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Sponsor has no operational authority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6ydzbs39ukih" w:id="8"/>
      <w:bookmarkEnd w:id="8"/>
      <w:r w:rsidDel="00000000" w:rsidR="00000000" w:rsidRPr="00000000">
        <w:rPr>
          <w:rtl w:val="0"/>
        </w:rPr>
        <w:t xml:space="preserve">8. Compliance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Adherence to donation and social welfare regulations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Record keeping for audit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4gzhiutiiem5" w:id="9"/>
      <w:bookmarkEnd w:id="9"/>
      <w:r w:rsidDel="00000000" w:rsidR="00000000" w:rsidRPr="00000000">
        <w:rPr>
          <w:rtl w:val="0"/>
        </w:rPr>
        <w:t xml:space="preserve">9. Term &amp; Termination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Effective Date ~ Expiration Date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Termination clauses for misuse or breach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f9pd6onbdo8i" w:id="10"/>
      <w:bookmarkEnd w:id="10"/>
      <w:r w:rsidDel="00000000" w:rsidR="00000000" w:rsidRPr="00000000">
        <w:rPr>
          <w:rtl w:val="0"/>
        </w:rPr>
        <w:t xml:space="preserve">10. Miscellaneous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Written amendments only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Governing law: [Jurisdiction]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599743pwnysa" w:id="11"/>
      <w:bookmarkEnd w:id="11"/>
      <w:r w:rsidDel="00000000" w:rsidR="00000000" w:rsidRPr="00000000">
        <w:rPr>
          <w:rtl w:val="0"/>
        </w:rPr>
        <w:t xml:space="preserve">11. Annexes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Example tables of fund allocation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Flowchart / Mermaid.js Diagram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