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43.png" ContentType="image/png"/>
  <Override PartName="/word/media/rId39.png" ContentType="image/png"/>
  <Override PartName="/word/media/rId81.png" ContentType="image/png"/>
  <Override PartName="/word/media/rId77.png" ContentType="image/png"/>
  <Override PartName="/word/media/rId55.png" ContentType="image/png"/>
  <Override PartName="/word/media/rId73.png" ContentType="image/png"/>
  <Override PartName="/word/media/rId27.png" ContentType="image/png"/>
  <Override PartName="/word/media/rId23.png" ContentType="image/png"/>
  <Override PartName="/word/media/rId35.png" ContentType="image/png"/>
  <Override PartName="/word/media/rId31.png" ContentType="image/png"/>
  <Override PartName="/word/media/rId65.png" ContentType="image/png"/>
  <Override PartName="/word/media/rId47.png" ContentType="image/png"/>
  <Override PartName="/word/media/rId51.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penguins-dataset-analysis"/>
    <w:p>
      <w:pPr>
        <w:pStyle w:val="Heading1"/>
      </w:pPr>
      <w:r>
        <w:t xml:space="preserve">Penguins Dataset Analysis</w:t>
      </w:r>
    </w:p>
    <w:bookmarkStart w:id="20" w:name="dataset-overview"/>
    <w:p>
      <w:pPr>
        <w:pStyle w:val="Heading2"/>
      </w:pPr>
      <w:r>
        <w:t xml:space="preserve">Dataset Overview</w:t>
      </w:r>
    </w:p>
    <w:p>
      <w:pPr>
        <w:numPr>
          <w:ilvl w:val="0"/>
          <w:numId w:val="1001"/>
        </w:numPr>
        <w:pStyle w:val="Compact"/>
      </w:pPr>
      <w:r>
        <w:rPr>
          <w:bCs/>
          <w:b/>
        </w:rPr>
        <w:t xml:space="preserve">Shape</w:t>
      </w:r>
      <w:r>
        <w:t xml:space="preserve">: (344, 7)</w:t>
      </w:r>
    </w:p>
    <w:p>
      <w:pPr>
        <w:numPr>
          <w:ilvl w:val="0"/>
          <w:numId w:val="1001"/>
        </w:numPr>
        <w:pStyle w:val="Compact"/>
      </w:pPr>
      <w:r>
        <w:rPr>
          <w:bCs/>
          <w:b/>
        </w:rPr>
        <w:t xml:space="preserve">Columns</w:t>
      </w:r>
      <w:r>
        <w:t xml:space="preserve">: [</w:t>
      </w:r>
      <w:r>
        <w:t xml:space="preserve">‘</w:t>
      </w:r>
      <w:r>
        <w:t xml:space="preserve">species</w:t>
      </w:r>
      <w:r>
        <w:t xml:space="preserve">’</w:t>
      </w:r>
      <w:r>
        <w:t xml:space="preserve">,</w:t>
      </w:r>
      <w:r>
        <w:t xml:space="preserve"> </w:t>
      </w:r>
      <w:r>
        <w:t xml:space="preserve">‘</w:t>
      </w:r>
      <w:r>
        <w:t xml:space="preserve">island</w:t>
      </w:r>
      <w:r>
        <w:t xml:space="preserve">’</w:t>
      </w:r>
      <w:r>
        <w:t xml:space="preserve">,</w:t>
      </w:r>
      <w:r>
        <w:t xml:space="preserve"> </w:t>
      </w:r>
      <w:r>
        <w:t xml:space="preserve">‘</w:t>
      </w:r>
      <w:r>
        <w:t xml:space="preserve">bill_length_mm</w:t>
      </w:r>
      <w:r>
        <w:t xml:space="preserve">’</w:t>
      </w:r>
      <w:r>
        <w:t xml:space="preserve">,</w:t>
      </w:r>
      <w:r>
        <w:t xml:space="preserve"> </w:t>
      </w:r>
      <w:r>
        <w:t xml:space="preserve">‘</w:t>
      </w:r>
      <w:r>
        <w:t xml:space="preserve">bill_depth_mm</w:t>
      </w:r>
      <w:r>
        <w:t xml:space="preserve">’</w:t>
      </w:r>
      <w:r>
        <w:t xml:space="preserve">,</w:t>
      </w:r>
      <w:r>
        <w:t xml:space="preserve"> </w:t>
      </w:r>
      <w:r>
        <w:t xml:space="preserve">‘</w:t>
      </w:r>
      <w:r>
        <w:t xml:space="preserve">flipper_length_mm</w:t>
      </w:r>
      <w:r>
        <w:t xml:space="preserve">’</w:t>
      </w:r>
      <w:r>
        <w:t xml:space="preserve">,</w:t>
      </w:r>
      <w:r>
        <w:t xml:space="preserve"> </w:t>
      </w:r>
      <w:r>
        <w:t xml:space="preserve">‘</w:t>
      </w:r>
      <w:r>
        <w:t xml:space="preserve">body_mass_g</w:t>
      </w:r>
      <w:r>
        <w:t xml:space="preserve">’</w:t>
      </w:r>
      <w:r>
        <w:t xml:space="preserve">,</w:t>
      </w:r>
      <w:r>
        <w:t xml:space="preserve"> </w:t>
      </w:r>
      <w:r>
        <w:t xml:space="preserve">‘</w:t>
      </w:r>
      <w:r>
        <w:t xml:space="preserve">sex</w:t>
      </w:r>
      <w:r>
        <w:t xml:space="preserve">’</w:t>
      </w:r>
      <w:r>
        <w:t xml:space="preserve">]</w:t>
      </w:r>
    </w:p>
    <w:bookmarkEnd w:id="20"/>
    <w:bookmarkStart w:id="21" w:name="basic-statistics"/>
    <w:p>
      <w:pPr>
        <w:pStyle w:val="Heading2"/>
      </w:pPr>
      <w:r>
        <w:t xml:space="preserve">Basic Statistics</w:t>
      </w:r>
    </w:p>
    <w:tbl>
      <w:tblPr>
        <w:tblStyle w:val="Table"/>
        <w:tblW w:type="pct" w:w="5000"/>
        <w:tblLook w:firstRow="1" w:lastRow="0" w:firstColumn="0" w:lastColumn="0" w:noHBand="0" w:noVBand="0" w:val="0020"/>
        <w:jc w:val="start"/>
      </w:tblPr>
      <w:tblGrid>
        <w:gridCol w:w="710"/>
        <w:gridCol w:w="1827"/>
        <w:gridCol w:w="1726"/>
        <w:gridCol w:w="2132"/>
        <w:gridCol w:w="1523"/>
      </w:tblGrid>
      <w:tr>
        <w:trPr>
          <w:tblHeader w:val="true"/>
        </w:trPr>
        <w:tc>
          <w:tcPr/>
          <w:p>
            <w:pPr>
              <w:pStyle w:val="Compact"/>
            </w:pPr>
          </w:p>
        </w:tc>
        <w:tc>
          <w:tcPr/>
          <w:p>
            <w:pPr>
              <w:pStyle w:val="Compact"/>
              <w:jc w:val="right"/>
            </w:pPr>
            <w:r>
              <w:t xml:space="preserve">bill_length_mm</w:t>
            </w:r>
          </w:p>
        </w:tc>
        <w:tc>
          <w:tcPr/>
          <w:p>
            <w:pPr>
              <w:pStyle w:val="Compact"/>
              <w:jc w:val="right"/>
            </w:pPr>
            <w:r>
              <w:t xml:space="preserve">bill_depth_mm</w:t>
            </w:r>
          </w:p>
        </w:tc>
        <w:tc>
          <w:tcPr/>
          <w:p>
            <w:pPr>
              <w:pStyle w:val="Compact"/>
              <w:jc w:val="right"/>
            </w:pPr>
            <w:r>
              <w:t xml:space="preserve">flipper_length_mm</w:t>
            </w:r>
          </w:p>
        </w:tc>
        <w:tc>
          <w:tcPr/>
          <w:p>
            <w:pPr>
              <w:pStyle w:val="Compact"/>
              <w:jc w:val="right"/>
            </w:pPr>
            <w:r>
              <w:t xml:space="preserve">body_mass_g</w:t>
            </w:r>
          </w:p>
        </w:tc>
      </w:tr>
      <w:tr>
        <w:tc>
          <w:tcPr/>
          <w:p>
            <w:pPr>
              <w:pStyle w:val="Compact"/>
              <w:jc w:val="left"/>
            </w:pPr>
            <w:r>
              <w:t xml:space="preserve">count</w:t>
            </w:r>
          </w:p>
        </w:tc>
        <w:tc>
          <w:tcPr/>
          <w:p>
            <w:pPr>
              <w:pStyle w:val="Compact"/>
              <w:jc w:val="right"/>
            </w:pPr>
            <w:r>
              <w:t xml:space="preserve">342</w:t>
            </w:r>
          </w:p>
        </w:tc>
        <w:tc>
          <w:tcPr/>
          <w:p>
            <w:pPr>
              <w:pStyle w:val="Compact"/>
              <w:jc w:val="right"/>
            </w:pPr>
            <w:r>
              <w:t xml:space="preserve">342</w:t>
            </w:r>
          </w:p>
        </w:tc>
        <w:tc>
          <w:tcPr/>
          <w:p>
            <w:pPr>
              <w:pStyle w:val="Compact"/>
              <w:jc w:val="right"/>
            </w:pPr>
            <w:r>
              <w:t xml:space="preserve">342</w:t>
            </w:r>
          </w:p>
        </w:tc>
        <w:tc>
          <w:tcPr/>
          <w:p>
            <w:pPr>
              <w:pStyle w:val="Compact"/>
              <w:jc w:val="right"/>
            </w:pPr>
            <w:r>
              <w:t xml:space="preserve">342</w:t>
            </w:r>
          </w:p>
        </w:tc>
      </w:tr>
      <w:tr>
        <w:tc>
          <w:tcPr/>
          <w:p>
            <w:pPr>
              <w:pStyle w:val="Compact"/>
              <w:jc w:val="left"/>
            </w:pPr>
            <w:r>
              <w:t xml:space="preserve">mean</w:t>
            </w:r>
          </w:p>
        </w:tc>
        <w:tc>
          <w:tcPr/>
          <w:p>
            <w:pPr>
              <w:pStyle w:val="Compact"/>
              <w:jc w:val="right"/>
            </w:pPr>
            <w:r>
              <w:t xml:space="preserve">43.9219</w:t>
            </w:r>
          </w:p>
        </w:tc>
        <w:tc>
          <w:tcPr/>
          <w:p>
            <w:pPr>
              <w:pStyle w:val="Compact"/>
              <w:jc w:val="right"/>
            </w:pPr>
            <w:r>
              <w:t xml:space="preserve">17.1512</w:t>
            </w:r>
          </w:p>
        </w:tc>
        <w:tc>
          <w:tcPr/>
          <w:p>
            <w:pPr>
              <w:pStyle w:val="Compact"/>
              <w:jc w:val="right"/>
            </w:pPr>
            <w:r>
              <w:t xml:space="preserve">200.915</w:t>
            </w:r>
          </w:p>
        </w:tc>
        <w:tc>
          <w:tcPr/>
          <w:p>
            <w:pPr>
              <w:pStyle w:val="Compact"/>
              <w:jc w:val="right"/>
            </w:pPr>
            <w:r>
              <w:t xml:space="preserve">4201.75</w:t>
            </w:r>
          </w:p>
        </w:tc>
      </w:tr>
      <w:tr>
        <w:tc>
          <w:tcPr/>
          <w:p>
            <w:pPr>
              <w:pStyle w:val="Compact"/>
              <w:jc w:val="left"/>
            </w:pPr>
            <w:r>
              <w:t xml:space="preserve">std</w:t>
            </w:r>
          </w:p>
        </w:tc>
        <w:tc>
          <w:tcPr/>
          <w:p>
            <w:pPr>
              <w:pStyle w:val="Compact"/>
              <w:jc w:val="right"/>
            </w:pPr>
            <w:r>
              <w:t xml:space="preserve">5.45958</w:t>
            </w:r>
          </w:p>
        </w:tc>
        <w:tc>
          <w:tcPr/>
          <w:p>
            <w:pPr>
              <w:pStyle w:val="Compact"/>
              <w:jc w:val="right"/>
            </w:pPr>
            <w:r>
              <w:t xml:space="preserve">1.97479</w:t>
            </w:r>
          </w:p>
        </w:tc>
        <w:tc>
          <w:tcPr/>
          <w:p>
            <w:pPr>
              <w:pStyle w:val="Compact"/>
              <w:jc w:val="right"/>
            </w:pPr>
            <w:r>
              <w:t xml:space="preserve">14.0617</w:t>
            </w:r>
          </w:p>
        </w:tc>
        <w:tc>
          <w:tcPr/>
          <w:p>
            <w:pPr>
              <w:pStyle w:val="Compact"/>
              <w:jc w:val="right"/>
            </w:pPr>
            <w:r>
              <w:t xml:space="preserve">801.955</w:t>
            </w:r>
          </w:p>
        </w:tc>
      </w:tr>
      <w:tr>
        <w:tc>
          <w:tcPr/>
          <w:p>
            <w:pPr>
              <w:pStyle w:val="Compact"/>
              <w:jc w:val="left"/>
            </w:pPr>
            <w:r>
              <w:t xml:space="preserve">min</w:t>
            </w:r>
          </w:p>
        </w:tc>
        <w:tc>
          <w:tcPr/>
          <w:p>
            <w:pPr>
              <w:pStyle w:val="Compact"/>
              <w:jc w:val="right"/>
            </w:pPr>
            <w:r>
              <w:t xml:space="preserve">32.1</w:t>
            </w:r>
          </w:p>
        </w:tc>
        <w:tc>
          <w:tcPr/>
          <w:p>
            <w:pPr>
              <w:pStyle w:val="Compact"/>
              <w:jc w:val="right"/>
            </w:pPr>
            <w:r>
              <w:t xml:space="preserve">13.1</w:t>
            </w:r>
          </w:p>
        </w:tc>
        <w:tc>
          <w:tcPr/>
          <w:p>
            <w:pPr>
              <w:pStyle w:val="Compact"/>
              <w:jc w:val="right"/>
            </w:pPr>
            <w:r>
              <w:t xml:space="preserve">172</w:t>
            </w:r>
          </w:p>
        </w:tc>
        <w:tc>
          <w:tcPr/>
          <w:p>
            <w:pPr>
              <w:pStyle w:val="Compact"/>
              <w:jc w:val="right"/>
            </w:pPr>
            <w:r>
              <w:t xml:space="preserve">2700</w:t>
            </w:r>
          </w:p>
        </w:tc>
      </w:tr>
      <w:tr>
        <w:tc>
          <w:tcPr/>
          <w:p>
            <w:pPr>
              <w:pStyle w:val="Compact"/>
              <w:jc w:val="left"/>
            </w:pPr>
            <w:r>
              <w:t xml:space="preserve">25%</w:t>
            </w:r>
          </w:p>
        </w:tc>
        <w:tc>
          <w:tcPr/>
          <w:p>
            <w:pPr>
              <w:pStyle w:val="Compact"/>
              <w:jc w:val="right"/>
            </w:pPr>
            <w:r>
              <w:t xml:space="preserve">39.225</w:t>
            </w:r>
          </w:p>
        </w:tc>
        <w:tc>
          <w:tcPr/>
          <w:p>
            <w:pPr>
              <w:pStyle w:val="Compact"/>
              <w:jc w:val="right"/>
            </w:pPr>
            <w:r>
              <w:t xml:space="preserve">15.6</w:t>
            </w:r>
          </w:p>
        </w:tc>
        <w:tc>
          <w:tcPr/>
          <w:p>
            <w:pPr>
              <w:pStyle w:val="Compact"/>
              <w:jc w:val="right"/>
            </w:pPr>
            <w:r>
              <w:t xml:space="preserve">190</w:t>
            </w:r>
          </w:p>
        </w:tc>
        <w:tc>
          <w:tcPr/>
          <w:p>
            <w:pPr>
              <w:pStyle w:val="Compact"/>
              <w:jc w:val="right"/>
            </w:pPr>
            <w:r>
              <w:t xml:space="preserve">3550</w:t>
            </w:r>
          </w:p>
        </w:tc>
      </w:tr>
      <w:tr>
        <w:tc>
          <w:tcPr/>
          <w:p>
            <w:pPr>
              <w:pStyle w:val="Compact"/>
              <w:jc w:val="left"/>
            </w:pPr>
            <w:r>
              <w:t xml:space="preserve">50%</w:t>
            </w:r>
          </w:p>
        </w:tc>
        <w:tc>
          <w:tcPr/>
          <w:p>
            <w:pPr>
              <w:pStyle w:val="Compact"/>
              <w:jc w:val="right"/>
            </w:pPr>
            <w:r>
              <w:t xml:space="preserve">44.45</w:t>
            </w:r>
          </w:p>
        </w:tc>
        <w:tc>
          <w:tcPr/>
          <w:p>
            <w:pPr>
              <w:pStyle w:val="Compact"/>
              <w:jc w:val="right"/>
            </w:pPr>
            <w:r>
              <w:t xml:space="preserve">17.3</w:t>
            </w:r>
          </w:p>
        </w:tc>
        <w:tc>
          <w:tcPr/>
          <w:p>
            <w:pPr>
              <w:pStyle w:val="Compact"/>
              <w:jc w:val="right"/>
            </w:pPr>
            <w:r>
              <w:t xml:space="preserve">197</w:t>
            </w:r>
          </w:p>
        </w:tc>
        <w:tc>
          <w:tcPr/>
          <w:p>
            <w:pPr>
              <w:pStyle w:val="Compact"/>
              <w:jc w:val="right"/>
            </w:pPr>
            <w:r>
              <w:t xml:space="preserve">4050</w:t>
            </w:r>
          </w:p>
        </w:tc>
      </w:tr>
      <w:tr>
        <w:tc>
          <w:tcPr/>
          <w:p>
            <w:pPr>
              <w:pStyle w:val="Compact"/>
              <w:jc w:val="left"/>
            </w:pPr>
            <w:r>
              <w:t xml:space="preserve">75%</w:t>
            </w:r>
          </w:p>
        </w:tc>
        <w:tc>
          <w:tcPr/>
          <w:p>
            <w:pPr>
              <w:pStyle w:val="Compact"/>
              <w:jc w:val="right"/>
            </w:pPr>
            <w:r>
              <w:t xml:space="preserve">48.5</w:t>
            </w:r>
          </w:p>
        </w:tc>
        <w:tc>
          <w:tcPr/>
          <w:p>
            <w:pPr>
              <w:pStyle w:val="Compact"/>
              <w:jc w:val="right"/>
            </w:pPr>
            <w:r>
              <w:t xml:space="preserve">18.7</w:t>
            </w:r>
          </w:p>
        </w:tc>
        <w:tc>
          <w:tcPr/>
          <w:p>
            <w:pPr>
              <w:pStyle w:val="Compact"/>
              <w:jc w:val="right"/>
            </w:pPr>
            <w:r>
              <w:t xml:space="preserve">213</w:t>
            </w:r>
          </w:p>
        </w:tc>
        <w:tc>
          <w:tcPr/>
          <w:p>
            <w:pPr>
              <w:pStyle w:val="Compact"/>
              <w:jc w:val="right"/>
            </w:pPr>
            <w:r>
              <w:t xml:space="preserve">4750</w:t>
            </w:r>
          </w:p>
        </w:tc>
      </w:tr>
      <w:tr>
        <w:tc>
          <w:tcPr/>
          <w:p>
            <w:pPr>
              <w:pStyle w:val="Compact"/>
              <w:jc w:val="left"/>
            </w:pPr>
            <w:r>
              <w:t xml:space="preserve">max</w:t>
            </w:r>
          </w:p>
        </w:tc>
        <w:tc>
          <w:tcPr/>
          <w:p>
            <w:pPr>
              <w:pStyle w:val="Compact"/>
              <w:jc w:val="right"/>
            </w:pPr>
            <w:r>
              <w:t xml:space="preserve">59.6</w:t>
            </w:r>
          </w:p>
        </w:tc>
        <w:tc>
          <w:tcPr/>
          <w:p>
            <w:pPr>
              <w:pStyle w:val="Compact"/>
              <w:jc w:val="right"/>
            </w:pPr>
            <w:r>
              <w:t xml:space="preserve">21.5</w:t>
            </w:r>
          </w:p>
        </w:tc>
        <w:tc>
          <w:tcPr/>
          <w:p>
            <w:pPr>
              <w:pStyle w:val="Compact"/>
              <w:jc w:val="right"/>
            </w:pPr>
            <w:r>
              <w:t xml:space="preserve">231</w:t>
            </w:r>
          </w:p>
        </w:tc>
        <w:tc>
          <w:tcPr/>
          <w:p>
            <w:pPr>
              <w:pStyle w:val="Compact"/>
              <w:jc w:val="right"/>
            </w:pPr>
            <w:r>
              <w:t xml:space="preserve">6300</w:t>
            </w:r>
          </w:p>
        </w:tc>
      </w:tr>
    </w:tbl>
    <w:bookmarkEnd w:id="21"/>
    <w:bookmarkStart w:id="22" w:name="missing-values"/>
    <w:p>
      <w:pPr>
        <w:pStyle w:val="Heading2"/>
      </w:pPr>
      <w:r>
        <w:t xml:space="preserve">Missing Values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right"/>
            </w:pPr>
            <w:r>
              <w:t xml:space="preserve">0</w:t>
            </w:r>
          </w:p>
        </w:tc>
      </w:tr>
      <w:tr>
        <w:tc>
          <w:tcPr/>
          <w:p>
            <w:pPr>
              <w:pStyle w:val="Compact"/>
              <w:jc w:val="left"/>
            </w:pPr>
            <w:r>
              <w:t xml:space="preserve">species</w:t>
            </w:r>
          </w:p>
        </w:tc>
        <w:tc>
          <w:tcPr/>
          <w:p>
            <w:pPr>
              <w:pStyle w:val="Compact"/>
              <w:jc w:val="right"/>
            </w:pPr>
            <w:r>
              <w:t xml:space="preserve">0</w:t>
            </w:r>
          </w:p>
        </w:tc>
      </w:tr>
      <w:tr>
        <w:tc>
          <w:tcPr/>
          <w:p>
            <w:pPr>
              <w:pStyle w:val="Compact"/>
              <w:jc w:val="left"/>
            </w:pPr>
            <w:r>
              <w:t xml:space="preserve">island</w:t>
            </w:r>
          </w:p>
        </w:tc>
        <w:tc>
          <w:tcPr/>
          <w:p>
            <w:pPr>
              <w:pStyle w:val="Compact"/>
              <w:jc w:val="right"/>
            </w:pPr>
            <w:r>
              <w:t xml:space="preserve">0</w:t>
            </w:r>
          </w:p>
        </w:tc>
      </w:tr>
      <w:tr>
        <w:tc>
          <w:tcPr/>
          <w:p>
            <w:pPr>
              <w:pStyle w:val="Compact"/>
              <w:jc w:val="left"/>
            </w:pPr>
            <w:r>
              <w:t xml:space="preserve">bill_length_mm</w:t>
            </w:r>
          </w:p>
        </w:tc>
        <w:tc>
          <w:tcPr/>
          <w:p>
            <w:pPr>
              <w:pStyle w:val="Compact"/>
              <w:jc w:val="right"/>
            </w:pPr>
            <w:r>
              <w:t xml:space="preserve">2</w:t>
            </w:r>
          </w:p>
        </w:tc>
      </w:tr>
      <w:tr>
        <w:tc>
          <w:tcPr/>
          <w:p>
            <w:pPr>
              <w:pStyle w:val="Compact"/>
              <w:jc w:val="left"/>
            </w:pPr>
            <w:r>
              <w:t xml:space="preserve">bill_depth_mm</w:t>
            </w:r>
          </w:p>
        </w:tc>
        <w:tc>
          <w:tcPr/>
          <w:p>
            <w:pPr>
              <w:pStyle w:val="Compact"/>
              <w:jc w:val="right"/>
            </w:pPr>
            <w:r>
              <w:t xml:space="preserve">2</w:t>
            </w:r>
          </w:p>
        </w:tc>
      </w:tr>
      <w:tr>
        <w:tc>
          <w:tcPr/>
          <w:p>
            <w:pPr>
              <w:pStyle w:val="Compact"/>
              <w:jc w:val="left"/>
            </w:pPr>
            <w:r>
              <w:t xml:space="preserve">flipper_length_mm</w:t>
            </w:r>
          </w:p>
        </w:tc>
        <w:tc>
          <w:tcPr/>
          <w:p>
            <w:pPr>
              <w:pStyle w:val="Compact"/>
              <w:jc w:val="right"/>
            </w:pPr>
            <w:r>
              <w:t xml:space="preserve">2</w:t>
            </w:r>
          </w:p>
        </w:tc>
      </w:tr>
      <w:tr>
        <w:tc>
          <w:tcPr/>
          <w:p>
            <w:pPr>
              <w:pStyle w:val="Compact"/>
              <w:jc w:val="left"/>
            </w:pPr>
            <w:r>
              <w:t xml:space="preserve">body_mass_g</w:t>
            </w:r>
          </w:p>
        </w:tc>
        <w:tc>
          <w:tcPr/>
          <w:p>
            <w:pPr>
              <w:pStyle w:val="Compact"/>
              <w:jc w:val="right"/>
            </w:pPr>
            <w:r>
              <w:t xml:space="preserve">2</w:t>
            </w:r>
          </w:p>
        </w:tc>
      </w:tr>
      <w:tr>
        <w:tc>
          <w:tcPr/>
          <w:p>
            <w:pPr>
              <w:pStyle w:val="Compact"/>
              <w:jc w:val="left"/>
            </w:pPr>
            <w:r>
              <w:t xml:space="preserve">sex</w:t>
            </w:r>
          </w:p>
        </w:tc>
        <w:tc>
          <w:tcPr/>
          <w:p>
            <w:pPr>
              <w:pStyle w:val="Compact"/>
              <w:jc w:val="right"/>
            </w:pPr>
            <w:r>
              <w:t xml:space="preserve">11</w:t>
            </w:r>
          </w:p>
        </w:tc>
      </w:tr>
    </w:tbl>
    <w:bookmarkEnd w:id="22"/>
    <w:bookmarkStart w:id="85" w:name="visualizations"/>
    <w:p>
      <w:pPr>
        <w:pStyle w:val="Heading2"/>
      </w:pPr>
      <w:r>
        <w:t xml:space="preserve">Visualizations</w:t>
      </w:r>
    </w:p>
    <w:bookmarkStart w:id="26" w:name="histogram-of-bill-length"/>
    <w:p>
      <w:pPr>
        <w:pStyle w:val="Heading3"/>
      </w:pPr>
      <w:r>
        <w:t xml:space="preserve">1. Histogram of Bill Length</w:t>
      </w:r>
    </w:p>
    <w:p>
      <w:pPr>
        <w:pStyle w:val="CaptionedFigure"/>
      </w:pPr>
      <w:r>
        <w:drawing>
          <wp:inline>
            <wp:extent cx="5334000" cy="4000499"/>
            <wp:effectExtent b="0" l="0" r="0" t="0"/>
            <wp:docPr descr="Histogram of Bill Length" title="" id="24" name="Picture"/>
            <a:graphic>
              <a:graphicData uri="http://schemas.openxmlformats.org/drawingml/2006/picture">
                <pic:pic>
                  <pic:nvPicPr>
                    <pic:cNvPr descr="hist_bill_length.png" id="25" name="Picture"/>
                    <pic:cNvPicPr>
                      <a:picLocks noChangeArrowheads="1" noChangeAspect="1"/>
                    </pic:cNvPicPr>
                  </pic:nvPicPr>
                  <pic:blipFill>
                    <a:blip r:embed="rId23"/>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Histogram of Bill Length</w:t>
      </w:r>
    </w:p>
    <w:p>
      <w:pPr>
        <w:pStyle w:val="BodyText"/>
      </w:pPr>
      <w:r>
        <w:rPr>
          <w:bCs/>
          <w:b/>
        </w:rPr>
        <w:t xml:space="preserve">인사이트</w:t>
      </w:r>
      <w:r>
        <w:t xml:space="preserve">: 이 히스토그램은 펭귄의 부리 길이 분포를 보여줍니다. 평균 부리 길이는 약 43.9mm로, 대부분의 펭귄이 39-48mm 범위에 집중되어 있습니다. 분포는 정규분포에 가까우며, 종별 차이를 고려할 때 Adelie 종이 상대적으로 짧고 Gentoo 종이 긴 경향을 보입니다. 이는 먹이 습성과 서식지 적응의 차이를 반영할 수 있습니다. 결측치가 2개 있어 전체 데이터를 대표하지 않을 수 있으나, 큰 영향을 미치지 않습니다. (약 150자)</w:t>
      </w:r>
    </w:p>
    <w:bookmarkEnd w:id="26"/>
    <w:bookmarkStart w:id="30" w:name="histogram-of-bill-depth"/>
    <w:p>
      <w:pPr>
        <w:pStyle w:val="Heading3"/>
      </w:pPr>
      <w:r>
        <w:t xml:space="preserve">2. Histogram of Bill Depth</w:t>
      </w:r>
    </w:p>
    <w:p>
      <w:pPr>
        <w:pStyle w:val="CaptionedFigure"/>
      </w:pPr>
      <w:r>
        <w:drawing>
          <wp:inline>
            <wp:extent cx="5334000" cy="4000499"/>
            <wp:effectExtent b="0" l="0" r="0" t="0"/>
            <wp:docPr descr="Histogram of Bill Depth" title="" id="28" name="Picture"/>
            <a:graphic>
              <a:graphicData uri="http://schemas.openxmlformats.org/drawingml/2006/picture">
                <pic:pic>
                  <pic:nvPicPr>
                    <pic:cNvPr descr="hist_bill_depth.png" id="29" name="Picture"/>
                    <pic:cNvPicPr>
                      <a:picLocks noChangeArrowheads="1" noChangeAspect="1"/>
                    </pic:cNvPicPr>
                  </pic:nvPicPr>
                  <pic:blipFill>
                    <a:blip r:embed="rId2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Histogram of Bill Depth</w:t>
      </w:r>
    </w:p>
    <w:p>
      <w:pPr>
        <w:pStyle w:val="BodyText"/>
      </w:pPr>
      <w:r>
        <w:rPr>
          <w:bCs/>
          <w:b/>
        </w:rPr>
        <w:t xml:space="preserve">인사이트</w:t>
      </w:r>
      <w:r>
        <w:t xml:space="preserve">: 부리 깊이의 히스토그램은 평균 17.15mm로, 펭귄 종간 차이를 잘 보여줍니다. Adelie 종은 깊이가 깊고, Gentoo 종은 얕은 경향이 있어 먹이 포획 방식의 차이를 시사합니다. 분포는 약간 왼쪽으로 치우쳐 있으며, 결측치가 부리 길이와 동일하게 2개입니다. 이 지표는 펭귄의 생태적 역할을 이해하는 데 유용합니다. (약 120자)</w:t>
      </w:r>
    </w:p>
    <w:bookmarkEnd w:id="30"/>
    <w:bookmarkStart w:id="34" w:name="histogram-of-flipper-length"/>
    <w:p>
      <w:pPr>
        <w:pStyle w:val="Heading3"/>
      </w:pPr>
      <w:r>
        <w:t xml:space="preserve">3. Histogram of Flipper Length</w:t>
      </w:r>
    </w:p>
    <w:p>
      <w:pPr>
        <w:pStyle w:val="CaptionedFigure"/>
      </w:pPr>
      <w:r>
        <w:drawing>
          <wp:inline>
            <wp:extent cx="5334000" cy="4000499"/>
            <wp:effectExtent b="0" l="0" r="0" t="0"/>
            <wp:docPr descr="Histogram of Flipper Length" title="" id="32" name="Picture"/>
            <a:graphic>
              <a:graphicData uri="http://schemas.openxmlformats.org/drawingml/2006/picture">
                <pic:pic>
                  <pic:nvPicPr>
                    <pic:cNvPr descr="hist_flipper_length.png" id="33" name="Picture"/>
                    <pic:cNvPicPr>
                      <a:picLocks noChangeArrowheads="1" noChangeAspect="1"/>
                    </pic:cNvPicPr>
                  </pic:nvPicPr>
                  <pic:blipFill>
                    <a:blip r:embed="rId3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Histogram of Flipper Length</w:t>
      </w:r>
    </w:p>
    <w:p>
      <w:pPr>
        <w:pStyle w:val="BodyText"/>
      </w:pPr>
      <w:r>
        <w:rPr>
          <w:bCs/>
          <w:b/>
        </w:rPr>
        <w:t xml:space="preserve">인사이트</w:t>
      </w:r>
      <w:r>
        <w:t xml:space="preserve">: 플리퍼 길이 히스토그램은 평균 200.9mm로, 펭귄의 수영 능력을 나타냅니다. Gentoo 종이 가장 긴 플리퍼를 가지고 있어 깊은 바다에서 사냥하는 데 적합하며, Adelie와 Chinstrap은 상대적으로 짧습니다. 분포는 정규에 가까우나, 종별로 명확한 차이를 보입니다. 결측치 2개로 데이터 신뢰성이 높습니다. (약 130자)</w:t>
      </w:r>
    </w:p>
    <w:bookmarkEnd w:id="34"/>
    <w:bookmarkStart w:id="38" w:name="histogram-of-body-mass"/>
    <w:p>
      <w:pPr>
        <w:pStyle w:val="Heading3"/>
      </w:pPr>
      <w:r>
        <w:t xml:space="preserve">4. Histogram of Body Mass</w:t>
      </w:r>
    </w:p>
    <w:p>
      <w:pPr>
        <w:pStyle w:val="CaptionedFigure"/>
      </w:pPr>
      <w:r>
        <w:drawing>
          <wp:inline>
            <wp:extent cx="5334000" cy="4000499"/>
            <wp:effectExtent b="0" l="0" r="0" t="0"/>
            <wp:docPr descr="Histogram of Body Mass" title="" id="36" name="Picture"/>
            <a:graphic>
              <a:graphicData uri="http://schemas.openxmlformats.org/drawingml/2006/picture">
                <pic:pic>
                  <pic:nvPicPr>
                    <pic:cNvPr descr="hist_body_mass.png" id="37" name="Picture"/>
                    <pic:cNvPicPr>
                      <a:picLocks noChangeArrowheads="1" noChangeAspect="1"/>
                    </pic:cNvPicPr>
                  </pic:nvPicPr>
                  <pic:blipFill>
                    <a:blip r:embed="rId3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Histogram of Body Mass</w:t>
      </w:r>
    </w:p>
    <w:p>
      <w:pPr>
        <w:pStyle w:val="BodyText"/>
      </w:pPr>
      <w:r>
        <w:rPr>
          <w:bCs/>
          <w:b/>
        </w:rPr>
        <w:t xml:space="preserve">인사이트</w:t>
      </w:r>
      <w:r>
        <w:t xml:space="preserve">: 몸무게 히스토그램은 평균 4201g로, 펭귄의 크기를 보여줍니다. Gentoo 종이 가장 무거워 에너지 저장 능력이 뛰어나며, Adelie는 가볍습니다. 분포는 오른쪽으로 약간 치우쳐 있어 큰 펭귄이 적은 비율을 차지합니다. 결측치 2개로, 종별 생존 전략을 분석하는 데 중요합니다. (약 110자)</w:t>
      </w:r>
    </w:p>
    <w:bookmarkEnd w:id="38"/>
    <w:bookmarkStart w:id="42" w:name="boxplot-of-bill-length-by-species"/>
    <w:p>
      <w:pPr>
        <w:pStyle w:val="Heading3"/>
      </w:pPr>
      <w:r>
        <w:t xml:space="preserve">5. Boxplot of Bill Length by Species</w:t>
      </w:r>
    </w:p>
    <w:p>
      <w:pPr>
        <w:pStyle w:val="CaptionedFigure"/>
      </w:pPr>
      <w:r>
        <w:drawing>
          <wp:inline>
            <wp:extent cx="5334000" cy="4000499"/>
            <wp:effectExtent b="0" l="0" r="0" t="0"/>
            <wp:docPr descr="Boxplot of Bill Length by Species" title="" id="40" name="Picture"/>
            <a:graphic>
              <a:graphicData uri="http://schemas.openxmlformats.org/drawingml/2006/picture">
                <pic:pic>
                  <pic:nvPicPr>
                    <pic:cNvPr descr="box_bill_length_species.png" id="41" name="Picture"/>
                    <pic:cNvPicPr>
                      <a:picLocks noChangeArrowheads="1" noChangeAspect="1"/>
                    </pic:cNvPicPr>
                  </pic:nvPicPr>
                  <pic:blipFill>
                    <a:blip r:embed="rId39"/>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Boxplot of Bill Length by Species</w:t>
      </w:r>
    </w:p>
    <w:p>
      <w:pPr>
        <w:pStyle w:val="BodyText"/>
      </w:pPr>
      <w:r>
        <w:rPr>
          <w:bCs/>
          <w:b/>
        </w:rPr>
        <w:t xml:space="preserve">인사이트</w:t>
      </w:r>
      <w:r>
        <w:t xml:space="preserve">: 종별 부리 길이 박스플롯은 Gentoo가 가장 길고(평균 47.5mm), Adelie가 짧습니다(38.8mm). Chinstrap은 중간. 이상치가 적어 데이터 일관성이 높습니다. 이는 먹이원 차이를 반영하며, 생태적 niche를 이해하는 데 도움이 됩니다. 결측치로 인한 약간의 편향 가능성. (약 120자)</w:t>
      </w:r>
    </w:p>
    <w:bookmarkEnd w:id="42"/>
    <w:bookmarkStart w:id="46" w:name="boxplot-of-bill-depth-by-species"/>
    <w:p>
      <w:pPr>
        <w:pStyle w:val="Heading3"/>
      </w:pPr>
      <w:r>
        <w:t xml:space="preserve">6. Boxplot of Bill Depth by Species</w:t>
      </w:r>
    </w:p>
    <w:p>
      <w:pPr>
        <w:pStyle w:val="CaptionedFigure"/>
      </w:pPr>
      <w:r>
        <w:drawing>
          <wp:inline>
            <wp:extent cx="5334000" cy="4000499"/>
            <wp:effectExtent b="0" l="0" r="0" t="0"/>
            <wp:docPr descr="Boxplot of Bill Depth by Species" title="" id="44" name="Picture"/>
            <a:graphic>
              <a:graphicData uri="http://schemas.openxmlformats.org/drawingml/2006/picture">
                <pic:pic>
                  <pic:nvPicPr>
                    <pic:cNvPr descr="box_bill_depth_species.png" id="45" name="Picture"/>
                    <pic:cNvPicPr>
                      <a:picLocks noChangeArrowheads="1" noChangeAspect="1"/>
                    </pic:cNvPicPr>
                  </pic:nvPicPr>
                  <pic:blipFill>
                    <a:blip r:embed="rId43"/>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Boxplot of Bill Depth by Species</w:t>
      </w:r>
    </w:p>
    <w:p>
      <w:pPr>
        <w:pStyle w:val="BodyText"/>
      </w:pPr>
      <w:r>
        <w:rPr>
          <w:bCs/>
          <w:b/>
        </w:rPr>
        <w:t xml:space="preserve">인사이트</w:t>
      </w:r>
      <w:r>
        <w:t xml:space="preserve">: 부리 깊이 박스플롯은 Adelie가 가장 깊고(18.3mm), Gentoo가 얕습니다(15.0mm). 이는 포식 방식의 차이를 보여줍니다. Chinstrap은 중간. 분산이 작아 종내 일관성이 높습니다. 이상치가 거의 없어 신뢰할 수 있습니다. 생태 연구에 유용. (약 100자)</w:t>
      </w:r>
    </w:p>
    <w:bookmarkEnd w:id="46"/>
    <w:bookmarkStart w:id="50" w:name="Xf8233126ee1793429894aaa52d8e1009bd76dab"/>
    <w:p>
      <w:pPr>
        <w:pStyle w:val="Heading3"/>
      </w:pPr>
      <w:r>
        <w:t xml:space="preserve">7. Scatter Plot of Bill Length vs Bill Depth</w:t>
      </w:r>
    </w:p>
    <w:p>
      <w:pPr>
        <w:pStyle w:val="CaptionedFigure"/>
      </w:pPr>
      <w:r>
        <w:drawing>
          <wp:inline>
            <wp:extent cx="5334000" cy="4000499"/>
            <wp:effectExtent b="0" l="0" r="0" t="0"/>
            <wp:docPr descr="Scatter Plot of Bill Length vs Bill Depth" title="" id="48" name="Picture"/>
            <a:graphic>
              <a:graphicData uri="http://schemas.openxmlformats.org/drawingml/2006/picture">
                <pic:pic>
                  <pic:nvPicPr>
                    <pic:cNvPr descr="scatter_bill_length_depth.png" id="49" name="Picture"/>
                    <pic:cNvPicPr>
                      <a:picLocks noChangeArrowheads="1" noChangeAspect="1"/>
                    </pic:cNvPicPr>
                  </pic:nvPicPr>
                  <pic:blipFill>
                    <a:blip r:embed="rId4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Scatter Plot of Bill Length vs Bill Depth</w:t>
      </w:r>
    </w:p>
    <w:p>
      <w:pPr>
        <w:pStyle w:val="BodyText"/>
      </w:pPr>
      <w:r>
        <w:rPr>
          <w:bCs/>
          <w:b/>
        </w:rPr>
        <w:t xml:space="preserve">인사이트</w:t>
      </w:r>
      <w:r>
        <w:t xml:space="preserve">: 부리 길이와 깊이의 스캐터플롯은 약한 부정 상관을 보입니다. 종별로 명확히 분리되며, Adelie는 깊고 짧은 부리, Gentoo는 얕고 긴 부리를 가집니다. 이는 먹이 적응의 진화를 나타냅니다. 클러스터링이 잘 되어 있어 분류 모델에 유용합니다. (약 110자)</w:t>
      </w:r>
    </w:p>
    <w:bookmarkEnd w:id="50"/>
    <w:bookmarkStart w:id="54" w:name="X1cdcd33599a532bf0d64d914d4c0993c6f934fc"/>
    <w:p>
      <w:pPr>
        <w:pStyle w:val="Heading3"/>
      </w:pPr>
      <w:r>
        <w:t xml:space="preserve">8. Scatter Plot of Flipper Length vs Body Mass</w:t>
      </w:r>
    </w:p>
    <w:p>
      <w:pPr>
        <w:pStyle w:val="CaptionedFigure"/>
      </w:pPr>
      <w:r>
        <w:drawing>
          <wp:inline>
            <wp:extent cx="5334000" cy="4000499"/>
            <wp:effectExtent b="0" l="0" r="0" t="0"/>
            <wp:docPr descr="Scatter Plot of Flipper Length vs Body Mass" title="" id="52" name="Picture"/>
            <a:graphic>
              <a:graphicData uri="http://schemas.openxmlformats.org/drawingml/2006/picture">
                <pic:pic>
                  <pic:nvPicPr>
                    <pic:cNvPr descr="scatter_flipper_body_mass.png" id="53" name="Picture"/>
                    <pic:cNvPicPr>
                      <a:picLocks noChangeArrowheads="1" noChangeAspect="1"/>
                    </pic:cNvPicPr>
                  </pic:nvPicPr>
                  <pic:blipFill>
                    <a:blip r:embed="rId5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Scatter Plot of Flipper Length vs Body Mass</w:t>
      </w:r>
    </w:p>
    <w:p>
      <w:pPr>
        <w:pStyle w:val="BodyText"/>
      </w:pPr>
      <w:r>
        <w:rPr>
          <w:bCs/>
          <w:b/>
        </w:rPr>
        <w:t xml:space="preserve">인사이트</w:t>
      </w:r>
      <w:r>
        <w:t xml:space="preserve">: 플리퍼 길이와 몸무게의 스캐터플롯은 강한 양의 상관(약 0.87)을 보여줍니다. 큰 펭귄이 긴 플리퍼를 가지며, 수영 효율성을 높입니다. Gentoo가 우상단에 집중되어 있습니다. 이는 생물학적 scaling 법칙을 따르며, 환경 적응을 분석하는 데 중요합니다. (약 120자)</w:t>
      </w:r>
    </w:p>
    <w:bookmarkEnd w:id="54"/>
    <w:bookmarkStart w:id="60" w:name="count-of-species-bar-chart"/>
    <w:p>
      <w:pPr>
        <w:pStyle w:val="Heading3"/>
      </w:pPr>
      <w:r>
        <w:t xml:space="preserve">9. Count of Species (Bar Chart)</w:t>
      </w:r>
    </w:p>
    <w:p>
      <w:pPr>
        <w:pStyle w:val="CaptionedFigure"/>
      </w:pPr>
      <w:r>
        <w:drawing>
          <wp:inline>
            <wp:extent cx="5334000" cy="4000499"/>
            <wp:effectExtent b="0" l="0" r="0" t="0"/>
            <wp:docPr descr="Count of Species" title="" id="56" name="Picture"/>
            <a:graphic>
              <a:graphicData uri="http://schemas.openxmlformats.org/drawingml/2006/picture">
                <pic:pic>
                  <pic:nvPicPr>
                    <pic:cNvPr descr="count_species.png" id="57" name="Picture"/>
                    <pic:cNvPicPr>
                      <a:picLocks noChangeArrowheads="1" noChangeAspect="1"/>
                    </pic:cNvPicPr>
                  </pic:nvPicPr>
                  <pic:blipFill>
                    <a:blip r:embed="rId5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Count of Species</w:t>
      </w:r>
    </w:p>
    <w:p>
      <w:pPr>
        <w:pStyle w:val="BodyText"/>
      </w:pPr>
      <w:r>
        <w:rPr>
          <w:bCs/>
          <w:b/>
        </w:rPr>
        <w:t xml:space="preserve">인사이트</w:t>
      </w:r>
      <w:r>
        <w:t xml:space="preserve">: 종별 개수 바 차트는 Adelie가 152마리로 가장 많고, Gentoo 124, Chinstrap 68입니다. 이는 서식지 선호도를 반영합니다. Adelie는 모든 섬에 분포하지만 Gentoo는 Biscoe에 집중. 인구 동역학 연구에 기초 자료입니다. (약 100자)</w:t>
      </w:r>
    </w:p>
    <w:bookmarkStart w:id="58" w:name="X9753a4437be95f2e0608b0730d3b33dc70eab09"/>
    <w:p>
      <w:pPr>
        <w:pStyle w:val="Heading4"/>
      </w:pPr>
      <w:r>
        <w:t xml:space="preserve">Cross-tabulation for Bar Chart (Species Count)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species</w:t>
            </w:r>
          </w:p>
        </w:tc>
        <w:tc>
          <w:tcPr/>
          <w:p>
            <w:pPr>
              <w:pStyle w:val="Compact"/>
              <w:jc w:val="right"/>
            </w:pPr>
            <w:r>
              <w:t xml:space="preserve">Biscoe</w:t>
            </w:r>
          </w:p>
        </w:tc>
        <w:tc>
          <w:tcPr/>
          <w:p>
            <w:pPr>
              <w:pStyle w:val="Compact"/>
              <w:jc w:val="right"/>
            </w:pPr>
            <w:r>
              <w:t xml:space="preserve">Dream</w:t>
            </w:r>
          </w:p>
        </w:tc>
        <w:tc>
          <w:tcPr/>
          <w:p>
            <w:pPr>
              <w:pStyle w:val="Compact"/>
              <w:jc w:val="right"/>
            </w:pPr>
            <w:r>
              <w:t xml:space="preserve">Torgersen</w:t>
            </w:r>
          </w:p>
        </w:tc>
      </w:tr>
      <w:tr>
        <w:tc>
          <w:tcPr/>
          <w:p>
            <w:pPr>
              <w:pStyle w:val="Compact"/>
              <w:jc w:val="left"/>
            </w:pPr>
            <w:r>
              <w:t xml:space="preserve">Adelie</w:t>
            </w:r>
          </w:p>
        </w:tc>
        <w:tc>
          <w:tcPr/>
          <w:p>
            <w:pPr>
              <w:pStyle w:val="Compact"/>
              <w:jc w:val="right"/>
            </w:pPr>
            <w:r>
              <w:t xml:space="preserve">44</w:t>
            </w:r>
          </w:p>
        </w:tc>
        <w:tc>
          <w:tcPr/>
          <w:p>
            <w:pPr>
              <w:pStyle w:val="Compact"/>
              <w:jc w:val="right"/>
            </w:pPr>
            <w:r>
              <w:t xml:space="preserve">56</w:t>
            </w:r>
          </w:p>
        </w:tc>
        <w:tc>
          <w:tcPr/>
          <w:p>
            <w:pPr>
              <w:pStyle w:val="Compact"/>
              <w:jc w:val="right"/>
            </w:pPr>
            <w:r>
              <w:t xml:space="preserve">52</w:t>
            </w:r>
          </w:p>
        </w:tc>
      </w:tr>
      <w:tr>
        <w:tc>
          <w:tcPr/>
          <w:p>
            <w:pPr>
              <w:pStyle w:val="Compact"/>
              <w:jc w:val="left"/>
            </w:pPr>
            <w:r>
              <w:t xml:space="preserve">Chinstrap</w:t>
            </w:r>
          </w:p>
        </w:tc>
        <w:tc>
          <w:tcPr/>
          <w:p>
            <w:pPr>
              <w:pStyle w:val="Compact"/>
              <w:jc w:val="right"/>
            </w:pPr>
            <w:r>
              <w:t xml:space="preserve">0</w:t>
            </w:r>
          </w:p>
        </w:tc>
        <w:tc>
          <w:tcPr/>
          <w:p>
            <w:pPr>
              <w:pStyle w:val="Compact"/>
              <w:jc w:val="right"/>
            </w:pPr>
            <w:r>
              <w:t xml:space="preserve">68</w:t>
            </w:r>
          </w:p>
        </w:tc>
        <w:tc>
          <w:tcPr/>
          <w:p>
            <w:pPr>
              <w:pStyle w:val="Compact"/>
              <w:jc w:val="right"/>
            </w:pPr>
            <w:r>
              <w:t xml:space="preserve">0</w:t>
            </w:r>
          </w:p>
        </w:tc>
      </w:tr>
      <w:tr>
        <w:tc>
          <w:tcPr/>
          <w:p>
            <w:pPr>
              <w:pStyle w:val="Compact"/>
              <w:jc w:val="left"/>
            </w:pPr>
            <w:r>
              <w:t xml:space="preserve">Gentoo</w:t>
            </w:r>
          </w:p>
        </w:tc>
        <w:tc>
          <w:tcPr/>
          <w:p>
            <w:pPr>
              <w:pStyle w:val="Compact"/>
              <w:jc w:val="right"/>
            </w:pPr>
            <w:r>
              <w:t xml:space="preserve">124</w:t>
            </w:r>
          </w:p>
        </w:tc>
        <w:tc>
          <w:tcPr/>
          <w:p>
            <w:pPr>
              <w:pStyle w:val="Compact"/>
              <w:jc w:val="right"/>
            </w:pPr>
            <w:r>
              <w:t xml:space="preserve">0</w:t>
            </w:r>
          </w:p>
        </w:tc>
        <w:tc>
          <w:tcPr/>
          <w:p>
            <w:pPr>
              <w:pStyle w:val="Compact"/>
              <w:jc w:val="right"/>
            </w:pPr>
            <w:r>
              <w:t xml:space="preserve">0</w:t>
            </w:r>
          </w:p>
        </w:tc>
      </w:tr>
    </w:tbl>
    <w:p>
      <w:pPr>
        <w:pStyle w:val="BodyText"/>
      </w:pPr>
      <w:r>
        <w:rPr>
          <w:bCs/>
          <w:b/>
        </w:rPr>
        <w:t xml:space="preserve">인사이트</w:t>
      </w:r>
      <w:r>
        <w:t xml:space="preserve">: 교차표는 종과 섬의 관계를 보여줍니다. Gentoo는 Biscoe에만, Chinstrap은 Dream에만 서식합니다. Adelie는 균등 분포. 이는 섬별 환경 차이로 인한 niche 분할을 시사합니다. 보존 전략 수립에 유용합니다. (약 110자)</w:t>
      </w:r>
    </w:p>
    <w:bookmarkEnd w:id="58"/>
    <w:bookmarkStart w:id="59" w:name="X684145fbff5563f05f81948219ee8170485669e"/>
    <w:p>
      <w:pPr>
        <w:pStyle w:val="Heading4"/>
      </w:pPr>
      <w:r>
        <w:t xml:space="preserve">Pivot Table for Bar Chart (Mean Body Mass by Species and Island)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species</w:t>
            </w:r>
          </w:p>
        </w:tc>
        <w:tc>
          <w:tcPr/>
          <w:p>
            <w:pPr>
              <w:pStyle w:val="Compact"/>
              <w:jc w:val="right"/>
            </w:pPr>
            <w:r>
              <w:t xml:space="preserve">Biscoe</w:t>
            </w:r>
          </w:p>
        </w:tc>
        <w:tc>
          <w:tcPr/>
          <w:p>
            <w:pPr>
              <w:pStyle w:val="Compact"/>
              <w:jc w:val="right"/>
            </w:pPr>
            <w:r>
              <w:t xml:space="preserve">Dream</w:t>
            </w:r>
          </w:p>
        </w:tc>
        <w:tc>
          <w:tcPr/>
          <w:p>
            <w:pPr>
              <w:pStyle w:val="Compact"/>
              <w:jc w:val="right"/>
            </w:pPr>
            <w:r>
              <w:t xml:space="preserve">Torgersen</w:t>
            </w:r>
          </w:p>
        </w:tc>
      </w:tr>
      <w:tr>
        <w:tc>
          <w:tcPr/>
          <w:p>
            <w:pPr>
              <w:pStyle w:val="Compact"/>
              <w:jc w:val="left"/>
            </w:pPr>
            <w:r>
              <w:t xml:space="preserve">Adelie</w:t>
            </w:r>
          </w:p>
        </w:tc>
        <w:tc>
          <w:tcPr/>
          <w:p>
            <w:pPr>
              <w:pStyle w:val="Compact"/>
              <w:jc w:val="right"/>
            </w:pPr>
            <w:r>
              <w:t xml:space="preserve">3709.66</w:t>
            </w:r>
          </w:p>
        </w:tc>
        <w:tc>
          <w:tcPr/>
          <w:p>
            <w:pPr>
              <w:pStyle w:val="Compact"/>
              <w:jc w:val="right"/>
            </w:pPr>
            <w:r>
              <w:t xml:space="preserve">3688.39</w:t>
            </w:r>
          </w:p>
        </w:tc>
        <w:tc>
          <w:tcPr/>
          <w:p>
            <w:pPr>
              <w:pStyle w:val="Compact"/>
              <w:jc w:val="right"/>
            </w:pPr>
            <w:r>
              <w:t xml:space="preserve">3706.37</w:t>
            </w:r>
          </w:p>
        </w:tc>
      </w:tr>
      <w:tr>
        <w:tc>
          <w:tcPr/>
          <w:p>
            <w:pPr>
              <w:pStyle w:val="Compact"/>
              <w:jc w:val="left"/>
            </w:pPr>
            <w:r>
              <w:t xml:space="preserve">Chinstrap</w:t>
            </w:r>
          </w:p>
        </w:tc>
        <w:tc>
          <w:tcPr/>
          <w:p>
            <w:pPr>
              <w:pStyle w:val="Compact"/>
              <w:jc w:val="right"/>
            </w:pPr>
            <w:r>
              <w:t xml:space="preserve">nan</w:t>
            </w:r>
          </w:p>
        </w:tc>
        <w:tc>
          <w:tcPr/>
          <w:p>
            <w:pPr>
              <w:pStyle w:val="Compact"/>
              <w:jc w:val="right"/>
            </w:pPr>
            <w:r>
              <w:t xml:space="preserve">3733.09</w:t>
            </w:r>
          </w:p>
        </w:tc>
        <w:tc>
          <w:tcPr/>
          <w:p>
            <w:pPr>
              <w:pStyle w:val="Compact"/>
              <w:jc w:val="right"/>
            </w:pPr>
            <w:r>
              <w:t xml:space="preserve">nan</w:t>
            </w:r>
          </w:p>
        </w:tc>
      </w:tr>
      <w:tr>
        <w:tc>
          <w:tcPr/>
          <w:p>
            <w:pPr>
              <w:pStyle w:val="Compact"/>
              <w:jc w:val="left"/>
            </w:pPr>
            <w:r>
              <w:t xml:space="preserve">Gentoo</w:t>
            </w:r>
          </w:p>
        </w:tc>
        <w:tc>
          <w:tcPr/>
          <w:p>
            <w:pPr>
              <w:pStyle w:val="Compact"/>
              <w:jc w:val="right"/>
            </w:pPr>
            <w:r>
              <w:t xml:space="preserve">5076.02</w:t>
            </w:r>
          </w:p>
        </w:tc>
        <w:tc>
          <w:tcPr/>
          <w:p>
            <w:pPr>
              <w:pStyle w:val="Compact"/>
              <w:jc w:val="right"/>
            </w:pPr>
            <w:r>
              <w:t xml:space="preserve">nan</w:t>
            </w:r>
          </w:p>
        </w:tc>
        <w:tc>
          <w:tcPr/>
          <w:p>
            <w:pPr>
              <w:pStyle w:val="Compact"/>
              <w:jc w:val="right"/>
            </w:pPr>
            <w:r>
              <w:t xml:space="preserve">nan</w:t>
            </w:r>
          </w:p>
        </w:tc>
      </w:tr>
    </w:tbl>
    <w:p>
      <w:pPr>
        <w:pStyle w:val="BodyText"/>
      </w:pPr>
      <w:r>
        <w:rPr>
          <w:bCs/>
          <w:b/>
        </w:rPr>
        <w:t xml:space="preserve">인사이트</w:t>
      </w:r>
      <w:r>
        <w:t xml:space="preserve">: 피봇테이블은 평균 몸무게를 종과 섬별로 보여줍니다. Gentoo의 Biscoe 평균이 5076g으로 높고, Adelie는 섬간 차이가 적습니다. 이는 영양 공급 차이를 나타내며, 기후 변화 영향 평가에 도움이 됩니다. (약 100자)</w:t>
      </w:r>
    </w:p>
    <w:bookmarkEnd w:id="59"/>
    <w:bookmarkEnd w:id="60"/>
    <w:bookmarkStart w:id="64" w:name="mean-body-mass-by-species-bar-chart"/>
    <w:p>
      <w:pPr>
        <w:pStyle w:val="Heading3"/>
      </w:pPr>
      <w:r>
        <w:t xml:space="preserve">10. Mean Body Mass by Species (Bar Chart)</w:t>
      </w:r>
    </w:p>
    <w:p>
      <w:pPr>
        <w:pStyle w:val="CaptionedFigure"/>
      </w:pPr>
      <w:r>
        <w:drawing>
          <wp:inline>
            <wp:extent cx="5334000" cy="4000499"/>
            <wp:effectExtent b="0" l="0" r="0" t="0"/>
            <wp:docPr descr="Mean Body Mass by Species" title="" id="62" name="Picture"/>
            <a:graphic>
              <a:graphicData uri="http://schemas.openxmlformats.org/drawingml/2006/picture">
                <pic:pic>
                  <pic:nvPicPr>
                    <pic:cNvPr descr="bar_body_mass_species.png" id="63" name="Picture"/>
                    <pic:cNvPicPr>
                      <a:picLocks noChangeArrowheads="1" noChangeAspect="1"/>
                    </pic:cNvPicPr>
                  </pic:nvPicPr>
                  <pic:blipFill>
                    <a:blip r:embed="rId6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Mean Body Mass by Species</w:t>
      </w:r>
    </w:p>
    <w:p>
      <w:pPr>
        <w:pStyle w:val="BodyText"/>
      </w:pPr>
      <w:r>
        <w:rPr>
          <w:bCs/>
          <w:b/>
        </w:rPr>
        <w:t xml:space="preserve">인사이트</w:t>
      </w:r>
      <w:r>
        <w:t xml:space="preserve">: 평균 몸무게 바 차트는 Gentoo가 5076g으로 가장 무거우며, Adelie 3703g, Chinstrap 3733g입니다. 이는 서식지 자원 차이를 반영합니다. Gentoo의 높은 몸무게는 더 깊은 바다 사냥을 가능하게 합니다. 종간 경쟁과 적응을 이해하는 데 필수적입니다. (약 120자)</w:t>
      </w:r>
    </w:p>
    <w:bookmarkEnd w:id="64"/>
    <w:bookmarkStart w:id="68" w:name="pair-plot"/>
    <w:p>
      <w:pPr>
        <w:pStyle w:val="Heading3"/>
      </w:pPr>
      <w:r>
        <w:t xml:space="preserve">11. Pair Plot</w:t>
      </w:r>
    </w:p>
    <w:p>
      <w:pPr>
        <w:pStyle w:val="CaptionedFigure"/>
      </w:pPr>
      <w:r>
        <w:drawing>
          <wp:inline>
            <wp:extent cx="5334000" cy="4775290"/>
            <wp:effectExtent b="0" l="0" r="0" t="0"/>
            <wp:docPr descr="Pair Plot" title="" id="66" name="Picture"/>
            <a:graphic>
              <a:graphicData uri="http://schemas.openxmlformats.org/drawingml/2006/picture">
                <pic:pic>
                  <pic:nvPicPr>
                    <pic:cNvPr descr="pairplot.png" id="67" name="Picture"/>
                    <pic:cNvPicPr>
                      <a:picLocks noChangeArrowheads="1" noChangeAspect="1"/>
                    </pic:cNvPicPr>
                  </pic:nvPicPr>
                  <pic:blipFill>
                    <a:blip r:embed="rId65"/>
                    <a:stretch>
                      <a:fillRect/>
                    </a:stretch>
                  </pic:blipFill>
                  <pic:spPr bwMode="auto">
                    <a:xfrm>
                      <a:off x="0" y="0"/>
                      <a:ext cx="5334000" cy="4775290"/>
                    </a:xfrm>
                    <a:prstGeom prst="rect">
                      <a:avLst/>
                    </a:prstGeom>
                    <a:noFill/>
                    <a:ln w="9525">
                      <a:noFill/>
                      <a:headEnd/>
                      <a:tailEnd/>
                    </a:ln>
                  </pic:spPr>
                </pic:pic>
              </a:graphicData>
            </a:graphic>
          </wp:inline>
        </w:drawing>
      </w:r>
    </w:p>
    <w:p>
      <w:pPr>
        <w:pStyle w:val="ImageCaption"/>
      </w:pPr>
      <w:r>
        <w:t xml:space="preserve">Pair Plot</w:t>
      </w:r>
    </w:p>
    <w:p>
      <w:pPr>
        <w:pStyle w:val="BodyText"/>
      </w:pPr>
      <w:r>
        <w:rPr>
          <w:bCs/>
          <w:b/>
        </w:rPr>
        <w:t xml:space="preserve">인사이트</w:t>
      </w:r>
      <w:r>
        <w:t xml:space="preserve">: 페어플롯은 모든 수치 변수 간 관계를 종별로 색상 구분하여 보여줍니다. 부리 길이와 깊이는 부정 상관, 플리퍼와 몸무게는 강한 양의 상관입니다. 종별 클러스터링이 명확해 분류에 유용합니다. 이상치가 적어 데이터 품질이 좋습니다. 종합적 생태 분석에 이상적입니다. (약 130자)</w:t>
      </w:r>
    </w:p>
    <w:bookmarkEnd w:id="68"/>
    <w:bookmarkStart w:id="72" w:name="violin-plot-of-bill-length-by-species"/>
    <w:p>
      <w:pPr>
        <w:pStyle w:val="Heading3"/>
      </w:pPr>
      <w:r>
        <w:t xml:space="preserve">12. Violin Plot of Bill Length by Species</w:t>
      </w:r>
    </w:p>
    <w:p>
      <w:pPr>
        <w:pStyle w:val="CaptionedFigure"/>
      </w:pPr>
      <w:r>
        <w:drawing>
          <wp:inline>
            <wp:extent cx="5334000" cy="4000499"/>
            <wp:effectExtent b="0" l="0" r="0" t="0"/>
            <wp:docPr descr="Violin Plot of Bill Length by Species" title="" id="70" name="Picture"/>
            <a:graphic>
              <a:graphicData uri="http://schemas.openxmlformats.org/drawingml/2006/picture">
                <pic:pic>
                  <pic:nvPicPr>
                    <pic:cNvPr descr="violin_bill_length_species.png" id="71" name="Picture"/>
                    <pic:cNvPicPr>
                      <a:picLocks noChangeArrowheads="1" noChangeAspect="1"/>
                    </pic:cNvPicPr>
                  </pic:nvPicPr>
                  <pic:blipFill>
                    <a:blip r:embed="rId69"/>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Violin Plot of Bill Length by Species</w:t>
      </w:r>
    </w:p>
    <w:p>
      <w:pPr>
        <w:pStyle w:val="BodyText"/>
      </w:pPr>
      <w:r>
        <w:rPr>
          <w:bCs/>
          <w:b/>
        </w:rPr>
        <w:t xml:space="preserve">인사이트</w:t>
      </w:r>
      <w:r>
        <w:t xml:space="preserve">: 바이올린 플롯은 부리 길이의 분포 밀도를 종별로 보여줍니다. Gentoo의 분포가 넓고 Adelie가 좁습니다. 중앙값과 분산을 동시에 볼 수 있어 박스플롯보다 풍부한 정보를 제공합니다. 종별 진화적 차이를 시각화합니다. 연구에서 분포 형태 분석에 유용합니다. (약 120자)</w:t>
      </w:r>
    </w:p>
    <w:bookmarkEnd w:id="72"/>
    <w:bookmarkStart w:id="76" w:name="correlation-heatmap"/>
    <w:p>
      <w:pPr>
        <w:pStyle w:val="Heading3"/>
      </w:pPr>
      <w:r>
        <w:t xml:space="preserve">13. Correlation Heatmap</w:t>
      </w:r>
    </w:p>
    <w:p>
      <w:pPr>
        <w:pStyle w:val="CaptionedFigure"/>
      </w:pPr>
      <w:r>
        <w:drawing>
          <wp:inline>
            <wp:extent cx="5334000" cy="4000499"/>
            <wp:effectExtent b="0" l="0" r="0" t="0"/>
            <wp:docPr descr="Correlation Heatmap" title="" id="74" name="Picture"/>
            <a:graphic>
              <a:graphicData uri="http://schemas.openxmlformats.org/drawingml/2006/picture">
                <pic:pic>
                  <pic:nvPicPr>
                    <pic:cNvPr descr="heatmap_corr.png" id="75" name="Picture"/>
                    <pic:cNvPicPr>
                      <a:picLocks noChangeArrowheads="1" noChangeAspect="1"/>
                    </pic:cNvPicPr>
                  </pic:nvPicPr>
                  <pic:blipFill>
                    <a:blip r:embed="rId73"/>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Correlation Heatmap</w:t>
      </w:r>
    </w:p>
    <w:p>
      <w:pPr>
        <w:pStyle w:val="BodyText"/>
      </w:pPr>
      <w:r>
        <w:rPr>
          <w:bCs/>
          <w:b/>
        </w:rPr>
        <w:t xml:space="preserve">인사이트</w:t>
      </w:r>
      <w:r>
        <w:t xml:space="preserve">: 상관 히트맵은 변수 간 선형 관계를 보여줍니다. 플리퍼 길이와 몸무게가 0.87로 강한 양의 상관, 부리 길이와 깊이가 -0.23으로 약한 부정 상관입니다. 다른 변수들은 약한 상관. 이는 펭귄의 형태적 적응을 나타내며, 다중공선성 검토에 중요합니다. (약 120자)</w:t>
      </w:r>
    </w:p>
    <w:bookmarkEnd w:id="76"/>
    <w:bookmarkStart w:id="80" w:name="count-of-islands-bar-chart"/>
    <w:p>
      <w:pPr>
        <w:pStyle w:val="Heading3"/>
      </w:pPr>
      <w:r>
        <w:t xml:space="preserve">14. Count of Islands (Bar Chart)</w:t>
      </w:r>
    </w:p>
    <w:p>
      <w:pPr>
        <w:pStyle w:val="CaptionedFigure"/>
      </w:pPr>
      <w:r>
        <w:drawing>
          <wp:inline>
            <wp:extent cx="5334000" cy="4000499"/>
            <wp:effectExtent b="0" l="0" r="0" t="0"/>
            <wp:docPr descr="Count of Islands" title="" id="78" name="Picture"/>
            <a:graphic>
              <a:graphicData uri="http://schemas.openxmlformats.org/drawingml/2006/picture">
                <pic:pic>
                  <pic:nvPicPr>
                    <pic:cNvPr descr="count_island.png" id="79" name="Picture"/>
                    <pic:cNvPicPr>
                      <a:picLocks noChangeArrowheads="1" noChangeAspect="1"/>
                    </pic:cNvPicPr>
                  </pic:nvPicPr>
                  <pic:blipFill>
                    <a:blip r:embed="rId7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Count of Islands</w:t>
      </w:r>
    </w:p>
    <w:p>
      <w:pPr>
        <w:pStyle w:val="BodyText"/>
      </w:pPr>
      <w:r>
        <w:rPr>
          <w:bCs/>
          <w:b/>
        </w:rPr>
        <w:t xml:space="preserve">인사이트</w:t>
      </w:r>
      <w:r>
        <w:t xml:space="preserve">: 섬별 개수 바 차트는 Biscoe가 168마리로 가장 많고, Dream 124, Torgersen 52입니다. 이는 Gentoo의 Biscoe 집중 때문입니다. 섬별 환경 차이가 인구 분포를 결정합니다. 기후 변화 연구에서 섬별 영향 평가에 기초가 됩니다. (약 100자)</w:t>
      </w:r>
    </w:p>
    <w:bookmarkEnd w:id="80"/>
    <w:bookmarkStart w:id="84" w:name="boxplot-of-body-mass-by-island"/>
    <w:p>
      <w:pPr>
        <w:pStyle w:val="Heading3"/>
      </w:pPr>
      <w:r>
        <w:t xml:space="preserve">15. Boxplot of Body Mass by Island</w:t>
      </w:r>
    </w:p>
    <w:p>
      <w:pPr>
        <w:pStyle w:val="CaptionedFigure"/>
      </w:pPr>
      <w:r>
        <w:drawing>
          <wp:inline>
            <wp:extent cx="5334000" cy="4000499"/>
            <wp:effectExtent b="0" l="0" r="0" t="0"/>
            <wp:docPr descr="Boxplot of Body Mass by Island" title="" id="82" name="Picture"/>
            <a:graphic>
              <a:graphicData uri="http://schemas.openxmlformats.org/drawingml/2006/picture">
                <pic:pic>
                  <pic:nvPicPr>
                    <pic:cNvPr descr="box_body_mass_island.png" id="83" name="Picture"/>
                    <pic:cNvPicPr>
                      <a:picLocks noChangeArrowheads="1" noChangeAspect="1"/>
                    </pic:cNvPicPr>
                  </pic:nvPicPr>
                  <pic:blipFill>
                    <a:blip r:embed="rId8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Boxplot of Body Mass by Island</w:t>
      </w:r>
    </w:p>
    <w:p>
      <w:pPr>
        <w:pStyle w:val="BodyText"/>
      </w:pPr>
      <w:r>
        <w:rPr>
          <w:bCs/>
          <w:b/>
        </w:rPr>
        <w:t xml:space="preserve">인사이트</w:t>
      </w:r>
      <w:r>
        <w:t xml:space="preserve">: 섬별 몸무게 박스플롯은 Biscoe가 평균 4716g으로 높고, Dream과 Torgersen이 비슷합니다. 이는 Gentoo의 존재 때문입니다. Biscoe의 분산이 크며, 이상치가 있습니다. 섬별 자원 차이를 반영하며, 보존 우선순위 설정에 도움이 됩니다. (약 110자)</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image" Id="rId55" Target="media/rId55.png" /><Relationship Type="http://schemas.openxmlformats.org/officeDocument/2006/relationships/image" Id="rId73" Target="media/rId73.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65" Target="media/rId65.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2025-12-23T13:10:30Z</dcterms:created>
  <dcterms:modified xsi:type="dcterms:W3CDTF">2025-12-23T13:10:30Z</dcterms:modified>
</cp:coreProperties>
</file>

<file path=docProps/custom.xml><?xml version="1.0" encoding="utf-8"?>
<Properties xmlns="http://schemas.openxmlformats.org/officeDocument/2006/custom-properties" xmlns:vt="http://schemas.openxmlformats.org/officeDocument/2006/docPropsVTypes"/>
</file>