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  <w:b/>
          <w:sz w:val="26"/>
        </w:rPr>
        <w:t>SeedScope 竞品分析报告：Brand A vs Brand B</w:t>
      </w:r>
    </w:p>
    <w:p>
      <w:r>
        <w:rPr>
          <w:rFonts w:ascii="Microsoft YaHei" w:hAnsi="Microsoft YaHei" w:eastAsia="微软雅黑"/>
          <w:b w:val="0"/>
          <w:sz w:val="22"/>
        </w:rPr>
        <w:t>行业：在线教育｜周期：近半年</w:t>
      </w:r>
    </w:p>
    <w:p>
      <w:r>
        <w:rPr>
          <w:rFonts w:ascii="Microsoft YaHei" w:hAnsi="Microsoft YaHei" w:eastAsia="微软雅黑"/>
          <w:b w:val="0"/>
          <w:sz w:val="22"/>
        </w:rPr>
        <w:t>分析目标：分析两组高赞笔记的内容策略差异，并输出 Brand A 的优化动作。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1）核心结论</w:t>
      </w:r>
    </w:p>
    <w:p>
      <w:r>
        <w:rPr>
          <w:rFonts w:ascii="Microsoft YaHei" w:hAnsi="Microsoft YaHei" w:eastAsia="微软雅黑"/>
          <w:b/>
          <w:sz w:val="22"/>
        </w:rPr>
        <w:t>结论先行：当前优化重点不是增加内容数量，而是提升决策型内容比例、证据密度和 CTA 自然承接。</w:t>
      </w:r>
    </w:p>
    <w:p>
      <w:r>
        <w:rPr>
          <w:rFonts w:ascii="Microsoft YaHei" w:hAnsi="Microsoft YaHei" w:eastAsia="微软雅黑"/>
          <w:b w:val="0"/>
          <w:sz w:val="22"/>
        </w:rPr>
        <w:t>Brand A 应优先补齐标题公式、封面证据位、正文判断标准和可复投素材池。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2）样本概览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22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22"/>
              </w:rPr>
              <w:t>Brand 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/>
                <w:sz w:val="22"/>
              </w:rPr>
              <w:t>Brand B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样本数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平均点赞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1070.0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1090.0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平均收藏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575.0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525.0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平均评论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84.0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84.0</w:t>
            </w:r>
          </w:p>
        </w:tc>
      </w:tr>
    </w:tbl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3）发布时间节奏</w:t>
      </w:r>
    </w:p>
    <w:p>
      <w:r>
        <w:rPr>
          <w:rFonts w:ascii="Microsoft YaHei" w:hAnsi="Microsoft YaHei" w:eastAsia="微软雅黑"/>
          <w:b/>
          <w:sz w:val="22"/>
        </w:rPr>
        <w:t>建议按关键决策窗口集中发布同一主题的多角度内容，避免主题分散和平均铺量。</w:t>
      </w:r>
    </w:p>
    <w:p>
      <w:r>
        <w:rPr>
          <w:rFonts w:ascii="Microsoft YaHei" w:hAnsi="Microsoft YaHei" w:eastAsia="微软雅黑"/>
          <w:b w:val="0"/>
          <w:sz w:val="22"/>
        </w:rPr>
        <w:t>后续可结合发布时间字段，按月度/周度识别内容波峰和投放节奏。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4）标题策略对比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22"/>
              </w:rPr>
              <w:t>标题类型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22"/>
              </w:rPr>
              <w:t>数量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方法型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问题型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结果型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1</w:t>
            </w:r>
          </w:p>
        </w:tc>
      </w:tr>
    </w:tbl>
    <w:p>
      <w:r>
        <w:rPr>
          <w:rFonts w:ascii="Microsoft YaHei" w:hAnsi="Microsoft YaHei" w:eastAsia="微软雅黑"/>
          <w:b/>
          <w:sz w:val="22"/>
        </w:rPr>
        <w:t>优先增加问题先行、方法攻略和对比测评标题，减少品牌前置和口号型表达。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5）封面策略对比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22"/>
              </w:rPr>
              <w:t>封面类型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22"/>
              </w:rPr>
              <w:t>数量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选课避坑型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结果反差型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阶段窗口型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1</w:t>
            </w:r>
          </w:p>
        </w:tc>
      </w:tr>
    </w:tbl>
    <w:p>
      <w:r>
        <w:rPr>
          <w:rFonts w:ascii="Microsoft YaHei" w:hAnsi="Microsoft YaHei" w:eastAsia="微软雅黑"/>
          <w:b w:val="0"/>
          <w:sz w:val="22"/>
        </w:rPr>
        <w:t>封面应同时具备阶段词、痛点词、结果词和证据位。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6）内容母题分布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22"/>
              </w:rPr>
              <w:t>内容类型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22"/>
              </w:rPr>
              <w:t>数量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选课避坑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横向对比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结果反差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方法攻略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1</w:t>
            </w:r>
          </w:p>
        </w:tc>
      </w:tr>
    </w:tbl>
    <w:p>
      <w:r>
        <w:rPr>
          <w:rFonts w:ascii="Microsoft YaHei" w:hAnsi="Microsoft YaHei" w:eastAsia="微软雅黑"/>
          <w:b w:val="0"/>
          <w:sz w:val="22"/>
        </w:rPr>
        <w:t>高赞内容应沉淀为可复用母题，而不是停留在单篇复盘。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7）卖点表达对比</w:t>
      </w:r>
    </w:p>
    <w:p>
      <w:r>
        <w:rPr>
          <w:rFonts w:ascii="Microsoft YaHei" w:hAnsi="Microsoft YaHei" w:eastAsia="微软雅黑"/>
          <w:b/>
          <w:sz w:val="22"/>
        </w:rPr>
        <w:t>Brand A 需要把产品卖点翻译成用户选择理由，避免只堆叠品牌优势。</w:t>
      </w:r>
    </w:p>
    <w:p>
      <w:r>
        <w:rPr>
          <w:rFonts w:ascii="Microsoft YaHei" w:hAnsi="Microsoft YaHei" w:eastAsia="微软雅黑"/>
          <w:b w:val="0"/>
          <w:sz w:val="22"/>
        </w:rPr>
        <w:t>建议表达路径：具体痛点 → 判断标准 → 品牌如何满足标准 → 结果证据。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8）CTA承接分析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22"/>
              </w:rPr>
              <w:t>CTA 类型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/>
                <w:sz w:val="22"/>
              </w:rPr>
              <w:t>数量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评论承接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私信承接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试听/资料承接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弱 CTA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b w:val="0"/>
                <w:sz w:val="22"/>
              </w:rPr>
              <w:t>1</w:t>
            </w:r>
          </w:p>
        </w:tc>
      </w:tr>
    </w:tbl>
    <w:p>
      <w:r>
        <w:rPr>
          <w:rFonts w:ascii="Microsoft YaHei" w:hAnsi="Microsoft YaHei" w:eastAsia="微软雅黑"/>
          <w:b w:val="0"/>
          <w:sz w:val="22"/>
        </w:rPr>
        <w:t>CTA 应放在正文后半段，以评论、私信、资料包或试听观察自然承接。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9）本品问题总结</w:t>
      </w:r>
    </w:p>
    <w:p>
      <w:r>
        <w:rPr>
          <w:rFonts w:ascii="Microsoft YaHei" w:hAnsi="Microsoft YaHei" w:eastAsia="微软雅黑"/>
          <w:b w:val="0"/>
          <w:sz w:val="22"/>
        </w:rPr>
        <w:t>• 高决策作者占比不足</w:t>
      </w:r>
    </w:p>
    <w:p>
      <w:r>
        <w:rPr>
          <w:rFonts w:ascii="Microsoft YaHei" w:hAnsi="Microsoft YaHei" w:eastAsia="微软雅黑"/>
          <w:b w:val="0"/>
          <w:sz w:val="22"/>
        </w:rPr>
        <w:t>• 品牌前置标题偏多</w:t>
      </w:r>
    </w:p>
    <w:p>
      <w:r>
        <w:rPr>
          <w:rFonts w:ascii="Microsoft YaHei" w:hAnsi="Microsoft YaHei" w:eastAsia="微软雅黑"/>
          <w:b w:val="0"/>
          <w:sz w:val="22"/>
        </w:rPr>
        <w:t>• 封面证据位不足</w:t>
      </w:r>
    </w:p>
    <w:p>
      <w:r>
        <w:rPr>
          <w:rFonts w:ascii="Microsoft YaHei" w:hAnsi="Microsoft YaHei" w:eastAsia="微软雅黑"/>
          <w:b w:val="0"/>
          <w:sz w:val="22"/>
        </w:rPr>
        <w:t>• 正文方法论段落偏弱</w:t>
      </w:r>
    </w:p>
    <w:p>
      <w:r>
        <w:rPr>
          <w:rFonts w:ascii="Microsoft YaHei" w:hAnsi="Microsoft YaHei" w:eastAsia="微软雅黑"/>
          <w:b w:val="0"/>
          <w:sz w:val="22"/>
        </w:rPr>
        <w:t>• 高效素材复投机制不足</w:t>
      </w:r>
    </w:p>
    <w:p>
      <w:pPr>
        <w:pStyle w:val="Heading1"/>
      </w:pPr>
      <w:r>
        <w:rPr>
          <w:rFonts w:ascii="Microsoft YaHei" w:hAnsi="Microsoft YaHei" w:eastAsia="微软雅黑"/>
          <w:b/>
          <w:sz w:val="32"/>
        </w:rPr>
        <w:t>10）下阶段策略建议</w:t>
      </w:r>
    </w:p>
    <w:p>
      <w:r>
        <w:rPr>
          <w:rFonts w:ascii="Microsoft YaHei" w:hAnsi="Microsoft YaHei" w:eastAsia="微软雅黑"/>
          <w:b w:val="0"/>
          <w:sz w:val="22"/>
        </w:rPr>
        <w:t>• 重构达人池：高决策作者、结果陪跑作者、低成本测试作者分层管理</w:t>
      </w:r>
    </w:p>
    <w:p>
      <w:r>
        <w:rPr>
          <w:rFonts w:ascii="Microsoft YaHei" w:hAnsi="Microsoft YaHei" w:eastAsia="微软雅黑"/>
          <w:b w:val="0"/>
          <w:sz w:val="22"/>
        </w:rPr>
        <w:t>• 重建模板库：标题、封面、正文、CTA 标准化</w:t>
      </w:r>
    </w:p>
    <w:p>
      <w:r>
        <w:rPr>
          <w:rFonts w:ascii="Microsoft YaHei" w:hAnsi="Microsoft YaHei" w:eastAsia="微软雅黑"/>
          <w:b w:val="0"/>
          <w:sz w:val="22"/>
        </w:rPr>
        <w:t>• 建立素材白名单：按收藏、评论、转化反馈筛选复投素材</w:t>
      </w:r>
    </w:p>
    <w:p>
      <w:r>
        <w:rPr>
          <w:rFonts w:ascii="Microsoft YaHei" w:hAnsi="Microsoft YaHei" w:eastAsia="微软雅黑"/>
          <w:b w:val="0"/>
          <w:sz w:val="22"/>
        </w:rPr>
        <w:t>• 周度复盘：按达人 × 选题 × 封面 × CTA 归因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