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74D3F">
      <w:pPr>
        <w:pStyle w:val="2"/>
        <w:numPr>
          <w:ilvl w:val="0"/>
          <w:numId w:val="1"/>
        </w:numPr>
        <w:spacing w:line="276" w:lineRule="auto"/>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Introduction</w:t>
      </w:r>
    </w:p>
    <w:p w14:paraId="7555625D">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REF _Ref194941497 \r \h  \* MERGEFORMAT </w:instrText>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pPr>
        <w:spacing w:line="276" w:lineRule="auto"/>
        <w:rPr>
          <w:rFonts w:ascii="Arial" w:hAnsi="Arial" w:cs="Arial"/>
          <w:sz w:val="22"/>
        </w:rPr>
      </w:pPr>
      <w:r>
        <w:rPr>
          <w:rFonts w:ascii="Arial" w:hAnsi="Arial" w:cs="Arial"/>
          <w:sz w:val="22"/>
        </w:rPr>
        <w:t xml:space="preserve">A "silver bullet" refers to a mythical weapon that can eliminate all problems with a single shot. </w:t>
      </w:r>
      <w:r>
        <w:rPr>
          <w:rFonts w:hint="eastAsia" w:ascii="Arial" w:hAnsi="Arial" w:cs="Arial"/>
          <w:sz w:val="22"/>
        </w:rPr>
        <w:t>Thus, t</w:t>
      </w:r>
      <w:r>
        <w:rPr>
          <w:rFonts w:ascii="Arial" w:hAnsi="Arial" w:cs="Arial"/>
          <w:sz w:val="22"/>
        </w:rPr>
        <w:t>he idea of "no silver bullet" means that there is no magic solution that can instantly remove all difficulties in software development.</w:t>
      </w:r>
    </w:p>
    <w:p w14:paraId="2CDF553A">
      <w:pPr>
        <w:pStyle w:val="2"/>
        <w:numPr>
          <w:ilvl w:val="0"/>
          <w:numId w:val="1"/>
        </w:numPr>
        <w:spacing w:line="276" w:lineRule="auto"/>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Identified Key Challenges</w:t>
      </w:r>
    </w:p>
    <w:p w14:paraId="0ED54FF7">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pPr>
        <w:numPr>
          <w:ilvl w:val="0"/>
          <w:numId w:val="2"/>
        </w:numPr>
        <w:spacing w:line="276" w:lineRule="auto"/>
        <w:rPr>
          <w:rFonts w:ascii="Arial" w:hAnsi="Arial" w:cs="Arial"/>
          <w:b/>
          <w:bCs/>
          <w:sz w:val="22"/>
        </w:rPr>
      </w:pPr>
      <w:r>
        <w:rPr>
          <w:rFonts w:ascii="Arial" w:hAnsi="Arial" w:cs="Arial"/>
          <w:b/>
          <w:bCs/>
          <w:sz w:val="22"/>
        </w:rPr>
        <w:t>Complexity</w:t>
      </w:r>
    </w:p>
    <w:p w14:paraId="1BECD953">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_Ref194941731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Software modules are tightly interconnected, so changes in one part can affect the whole system. As systems scale, complexity grows exponentially, making development</w:t>
      </w:r>
      <w:r>
        <w:rPr>
          <w:rFonts w:hint="eastAsia" w:ascii="Arial" w:hAnsi="Arial" w:cs="Arial"/>
          <w:sz w:val="22"/>
        </w:rPr>
        <w:t xml:space="preserve"> </w:t>
      </w:r>
      <w:r>
        <w:rPr>
          <w:rFonts w:ascii="Arial" w:hAnsi="Arial" w:cs="Arial"/>
          <w:sz w:val="22"/>
        </w:rPr>
        <w:t>and maintenance much harder.</w:t>
      </w:r>
    </w:p>
    <w:p w14:paraId="5B725155">
      <w:pPr>
        <w:pStyle w:val="33"/>
        <w:numPr>
          <w:ilvl w:val="0"/>
          <w:numId w:val="2"/>
        </w:numPr>
        <w:spacing w:line="276" w:lineRule="auto"/>
        <w:rPr>
          <w:rFonts w:ascii="Arial" w:hAnsi="Arial" w:cs="Arial"/>
          <w:b/>
          <w:bCs/>
          <w:sz w:val="22"/>
        </w:rPr>
      </w:pPr>
      <w:r>
        <w:rPr>
          <w:rFonts w:hint="eastAsia" w:ascii="Arial" w:hAnsi="Arial" w:cs="Arial"/>
          <w:b/>
          <w:bCs/>
          <w:sz w:val="22"/>
        </w:rPr>
        <w:t>Conformity</w:t>
      </w:r>
    </w:p>
    <w:p w14:paraId="36F49185">
      <w:pPr>
        <w:spacing w:line="276" w:lineRule="auto"/>
        <w:rPr>
          <w:rFonts w:ascii="Arial" w:hAnsi="Arial" w:cs="Arial"/>
          <w:sz w:val="22"/>
        </w:rPr>
      </w:pPr>
      <w:r>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pPr>
        <w:pStyle w:val="33"/>
        <w:numPr>
          <w:ilvl w:val="0"/>
          <w:numId w:val="2"/>
        </w:numPr>
        <w:spacing w:line="276" w:lineRule="auto"/>
        <w:rPr>
          <w:rFonts w:ascii="Arial" w:hAnsi="Arial" w:cs="Arial"/>
          <w:b/>
          <w:bCs/>
          <w:sz w:val="22"/>
        </w:rPr>
      </w:pPr>
      <w:r>
        <w:rPr>
          <w:rFonts w:ascii="Arial" w:hAnsi="Arial" w:cs="Arial"/>
          <w:b/>
          <w:bCs/>
          <w:sz w:val="22"/>
        </w:rPr>
        <w:t>Changeability</w:t>
      </w:r>
    </w:p>
    <w:p w14:paraId="0601171C">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_Ref194941850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Software must evolve with changing user needs and market conditions, but frequent updates can cause errors and raise maintenance costs. Balancing change and system stability is a key challenge in software engineering.</w:t>
      </w:r>
    </w:p>
    <w:p w14:paraId="008FBA1A">
      <w:pPr>
        <w:pStyle w:val="33"/>
        <w:numPr>
          <w:ilvl w:val="0"/>
          <w:numId w:val="2"/>
        </w:numPr>
        <w:spacing w:line="276" w:lineRule="auto"/>
        <w:rPr>
          <w:rFonts w:ascii="Arial" w:hAnsi="Arial" w:cs="Arial"/>
          <w:b/>
          <w:bCs/>
          <w:sz w:val="22"/>
        </w:rPr>
      </w:pPr>
      <w:r>
        <w:rPr>
          <w:rFonts w:ascii="Arial" w:hAnsi="Arial" w:cs="Arial"/>
          <w:b/>
          <w:bCs/>
          <w:sz w:val="22"/>
        </w:rPr>
        <w:t>Invisibility</w:t>
      </w:r>
    </w:p>
    <w:p w14:paraId="5495F1B4">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can cause miscommunication among developers, reduce efficiency, and complicate coordination and project management.</w:t>
      </w:r>
    </w:p>
    <w:p w14:paraId="6182AC2D">
      <w:pPr>
        <w:pStyle w:val="2"/>
        <w:numPr>
          <w:ilvl w:val="0"/>
          <w:numId w:val="1"/>
        </w:numPr>
        <w:spacing w:line="276" w:lineRule="auto"/>
        <w:rPr>
          <w:rFonts w:ascii="Arial" w:hAnsi="Arial" w:cs="Arial" w:eastAsiaTheme="minorEastAsia"/>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Design Pattern</w:t>
      </w:r>
    </w:p>
    <w:p w14:paraId="5DE66AC8">
      <w:pPr>
        <w:spacing w:line="276" w:lineRule="auto"/>
        <w:rPr>
          <w:rFonts w:hint="eastAsia"/>
          <w:sz w:val="22"/>
        </w:rPr>
      </w:pPr>
      <w:r>
        <w:rPr>
          <w:rFonts w:ascii="Arial" w:hAnsi="Arial" w:cs="Arial"/>
          <w:sz w:val="24"/>
          <w:szCs w:val="24"/>
        </w:rPr>
        <w:t>I</w:t>
      </w:r>
      <w:r>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pPr>
        <w:pStyle w:val="33"/>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Pr>
          <w:rFonts w:hint="eastAsia" w:ascii="Arial" w:hAnsi="Arial" w:eastAsia="宋体" w:cs="Arial"/>
          <w:sz w:val="22"/>
        </w:rPr>
        <w:t xml:space="preserve"> </w:t>
      </w:r>
      <w:r>
        <w:rPr>
          <w:rFonts w:ascii="Arial" w:hAnsi="Arial" w:eastAsia="宋体" w:cs="Arial"/>
          <w:sz w:val="22"/>
        </w:rPr>
        <w:fldChar w:fldCharType="begin"/>
      </w:r>
      <w:r>
        <w:rPr>
          <w:rFonts w:ascii="Arial" w:hAnsi="Arial" w:eastAsia="宋体" w:cs="Arial"/>
          <w:sz w:val="22"/>
        </w:rPr>
        <w:instrText xml:space="preserve"> </w:instrText>
      </w:r>
      <w:r>
        <w:rPr>
          <w:rFonts w:hint="eastAsia" w:ascii="Arial" w:hAnsi="Arial" w:eastAsia="宋体" w:cs="Arial"/>
          <w:sz w:val="22"/>
        </w:rPr>
        <w:instrText xml:space="preserve">REF _Ref194944167 \r \h</w:instrText>
      </w:r>
      <w:r>
        <w:rPr>
          <w:rFonts w:ascii="Arial" w:hAnsi="Arial" w:eastAsia="宋体" w:cs="Arial"/>
          <w:sz w:val="22"/>
        </w:rPr>
        <w:instrText xml:space="preserve">  \* MERGEFORMAT </w:instrText>
      </w:r>
      <w:r>
        <w:rPr>
          <w:rFonts w:ascii="Arial" w:hAnsi="Arial" w:eastAsia="宋体" w:cs="Arial"/>
          <w:sz w:val="22"/>
        </w:rPr>
        <w:fldChar w:fldCharType="separate"/>
      </w:r>
      <w:r>
        <w:rPr>
          <w:rFonts w:ascii="Arial" w:hAnsi="Arial" w:eastAsia="宋体" w:cs="Arial"/>
          <w:sz w:val="22"/>
        </w:rPr>
        <w:t>[4]</w:t>
      </w:r>
      <w:r>
        <w:rPr>
          <w:rFonts w:ascii="Arial" w:hAnsi="Arial" w:eastAsia="宋体" w:cs="Arial"/>
          <w:sz w:val="22"/>
        </w:rPr>
        <w:fldChar w:fldCharType="end"/>
      </w:r>
      <w:r>
        <w:rPr>
          <w:rFonts w:ascii="Arial" w:hAnsi="Arial" w:eastAsia="宋体" w:cs="Arial"/>
          <w:sz w:val="22"/>
        </w:rPr>
        <w:t>.</w:t>
      </w:r>
    </w:p>
    <w:p w14:paraId="4CB0FEA9">
      <w:pPr>
        <w:pStyle w:val="33"/>
        <w:numPr>
          <w:ilvl w:val="0"/>
          <w:numId w:val="4"/>
        </w:numPr>
        <w:spacing w:line="276" w:lineRule="auto"/>
        <w:rPr>
          <w:rFonts w:ascii="Arial" w:hAnsi="Arial" w:cs="Arial"/>
          <w:b/>
          <w:bCs/>
          <w:sz w:val="22"/>
        </w:rPr>
      </w:pPr>
      <w:r>
        <w:rPr>
          <w:rFonts w:ascii="Arial" w:hAnsi="Arial" w:cs="Arial"/>
          <w:b/>
          <w:bCs/>
          <w:sz w:val="22"/>
        </w:rPr>
        <w:t>Advantages</w:t>
      </w:r>
      <w:r>
        <w:rPr>
          <w:rFonts w:hint="eastAsia" w:ascii="Arial" w:hAnsi="Arial" w:cs="Arial"/>
          <w:b/>
          <w:bCs/>
          <w:sz w:val="22"/>
        </w:rPr>
        <w:t xml:space="preserve"> and Practical Applications</w:t>
      </w:r>
    </w:p>
    <w:p w14:paraId="6B5E0501">
      <w:pPr>
        <w:widowControl/>
        <w:shd w:val="clear" w:color="auto" w:fill="FFFFFF"/>
        <w:spacing w:line="276" w:lineRule="auto"/>
        <w:rPr>
          <w:rFonts w:ascii="Arial" w:hAnsi="Arial" w:eastAsia="Segoe UI" w:cs="Arial"/>
          <w:b/>
          <w:bCs/>
          <w:color w:val="000000"/>
          <w:sz w:val="22"/>
        </w:rPr>
      </w:pPr>
      <w:r>
        <w:rPr>
          <w:rFonts w:ascii="Arial" w:hAnsi="Arial" w:eastAsia="Segoe UI"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Pr>
          <w:rFonts w:hint="eastAsia" w:ascii="Arial" w:hAnsi="Arial" w:eastAsia="宋体" w:cs="Arial"/>
          <w:sz w:val="22"/>
        </w:rPr>
        <w:t xml:space="preserve"> </w:t>
      </w:r>
      <w:r>
        <w:rPr>
          <w:rFonts w:ascii="Arial" w:hAnsi="Arial" w:eastAsia="宋体" w:cs="Arial"/>
          <w:sz w:val="22"/>
        </w:rPr>
        <w:fldChar w:fldCharType="begin"/>
      </w:r>
      <w:r>
        <w:rPr>
          <w:rFonts w:ascii="Arial" w:hAnsi="Arial" w:eastAsia="宋体" w:cs="Arial"/>
          <w:sz w:val="22"/>
        </w:rPr>
        <w:instrText xml:space="preserve"> </w:instrText>
      </w:r>
      <w:r>
        <w:rPr>
          <w:rFonts w:hint="eastAsia" w:ascii="Arial" w:hAnsi="Arial" w:eastAsia="宋体" w:cs="Arial"/>
          <w:sz w:val="22"/>
        </w:rPr>
        <w:instrText xml:space="preserve">REF _Ref194944179 \r \h</w:instrText>
      </w:r>
      <w:r>
        <w:rPr>
          <w:rFonts w:ascii="Arial" w:hAnsi="Arial" w:eastAsia="宋体" w:cs="Arial"/>
          <w:sz w:val="22"/>
        </w:rPr>
        <w:instrText xml:space="preserve">  \* MERGEFORMAT </w:instrText>
      </w:r>
      <w:r>
        <w:rPr>
          <w:rFonts w:ascii="Arial" w:hAnsi="Arial" w:eastAsia="宋体" w:cs="Arial"/>
          <w:sz w:val="22"/>
        </w:rPr>
        <w:fldChar w:fldCharType="separate"/>
      </w:r>
      <w:r>
        <w:rPr>
          <w:rFonts w:ascii="Arial" w:hAnsi="Arial" w:eastAsia="宋体" w:cs="Arial"/>
          <w:sz w:val="22"/>
        </w:rPr>
        <w:t>[5]</w:t>
      </w:r>
      <w:r>
        <w:rPr>
          <w:rFonts w:ascii="Arial" w:hAnsi="Arial" w:eastAsia="宋体" w:cs="Arial"/>
          <w:sz w:val="22"/>
        </w:rPr>
        <w:fldChar w:fldCharType="end"/>
      </w:r>
      <w:r>
        <w:rPr>
          <w:rFonts w:ascii="Arial" w:hAnsi="Arial" w:eastAsia="宋体" w:cs="Arial"/>
          <w:sz w:val="22"/>
        </w:rPr>
        <w:t>.</w:t>
      </w:r>
    </w:p>
    <w:p w14:paraId="11A25E44">
      <w:pPr>
        <w:pStyle w:val="33"/>
        <w:numPr>
          <w:ilvl w:val="0"/>
          <w:numId w:val="3"/>
        </w:numPr>
        <w:spacing w:line="276" w:lineRule="auto"/>
        <w:rPr>
          <w:rFonts w:ascii="Arial" w:hAnsi="Arial" w:cs="Arial"/>
          <w:b/>
          <w:bCs/>
          <w:sz w:val="22"/>
        </w:rPr>
      </w:pPr>
      <w:r>
        <w:rPr>
          <w:rFonts w:ascii="Arial" w:hAnsi="Arial" w:cs="Arial"/>
          <w:b/>
          <w:bCs/>
          <w:sz w:val="22"/>
        </w:rPr>
        <w:t>Strategy Pattern</w:t>
      </w:r>
    </w:p>
    <w:p w14:paraId="1D070191">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Pr>
          <w:rFonts w:hint="eastAsia" w:ascii="Arial" w:hAnsi="Arial" w:cs="Arial"/>
          <w:kern w:val="0"/>
          <w:sz w:val="22"/>
          <w:shd w:val="clear" w:color="auto" w:fill="FFFFFF"/>
          <w:lang w:bidi="ar"/>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_Ref194944198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w:t>
      </w:r>
    </w:p>
    <w:p w14:paraId="126AAB96">
      <w:pPr>
        <w:pStyle w:val="33"/>
        <w:numPr>
          <w:ilvl w:val="0"/>
          <w:numId w:val="5"/>
        </w:numPr>
        <w:spacing w:line="276" w:lineRule="auto"/>
        <w:rPr>
          <w:rFonts w:ascii="Arial" w:hAnsi="Arial" w:cs="Arial"/>
          <w:b/>
          <w:bCs/>
          <w:sz w:val="22"/>
        </w:rPr>
      </w:pPr>
      <w:r>
        <w:rPr>
          <w:rFonts w:ascii="Arial" w:hAnsi="Arial" w:cs="Arial"/>
          <w:b/>
          <w:bCs/>
          <w:sz w:val="22"/>
        </w:rPr>
        <w:t>Advantages</w:t>
      </w:r>
      <w:r>
        <w:rPr>
          <w:rFonts w:hint="eastAsia" w:ascii="Arial" w:hAnsi="Arial" w:cs="Arial"/>
          <w:b/>
          <w:bCs/>
          <w:sz w:val="22"/>
        </w:rPr>
        <w:t xml:space="preserve"> and Practical Applications</w:t>
      </w:r>
    </w:p>
    <w:p w14:paraId="222AD287">
      <w:pPr>
        <w:widowControl/>
        <w:shd w:val="clear" w:color="auto" w:fill="FFFFFF"/>
        <w:spacing w:line="276" w:lineRule="auto"/>
        <w:rPr>
          <w:rFonts w:ascii="Arial" w:hAnsi="Arial" w:eastAsia="Segoe UI" w:cs="Arial"/>
          <w:kern w:val="0"/>
          <w:sz w:val="22"/>
          <w:shd w:val="clear" w:color="auto" w:fill="FFFFFF"/>
          <w:lang w:bidi="ar"/>
        </w:rPr>
      </w:pPr>
      <w:r>
        <w:rPr>
          <w:rFonts w:ascii="Arial" w:hAnsi="Arial" w:eastAsia="Segoe UI" w:cs="Arial"/>
          <w:kern w:val="0"/>
          <w:sz w:val="22"/>
          <w:shd w:val="clear" w:color="auto" w:fill="FFFFFF"/>
          <w:lang w:bidi="ar"/>
        </w:rPr>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Pr>
          <w:rFonts w:hint="eastAsia" w:ascii="Arial" w:hAnsi="Arial" w:cs="Arial"/>
          <w:kern w:val="0"/>
          <w:sz w:val="22"/>
          <w:shd w:val="clear" w:color="auto" w:fill="FFFFFF"/>
          <w:lang w:bidi="ar"/>
        </w:rPr>
        <w:t xml:space="preserve"> </w:t>
      </w:r>
      <w:r>
        <w:rPr>
          <w:rFonts w:ascii="Arial" w:hAnsi="Arial" w:eastAsia="Segoe UI" w:cs="Arial"/>
          <w:kern w:val="0"/>
          <w:sz w:val="22"/>
          <w:shd w:val="clear" w:color="auto" w:fill="FFFFFF"/>
          <w:lang w:bidi="ar"/>
        </w:rPr>
        <w:fldChar w:fldCharType="begin"/>
      </w:r>
      <w:r>
        <w:rPr>
          <w:rFonts w:ascii="Arial" w:hAnsi="Arial" w:eastAsia="Segoe UI" w:cs="Arial"/>
          <w:kern w:val="0"/>
          <w:sz w:val="22"/>
          <w:shd w:val="clear" w:color="auto" w:fill="FFFFFF"/>
          <w:lang w:bidi="ar"/>
        </w:rPr>
        <w:instrText xml:space="preserve"> REF _Ref194944210 \r \h  \* MERGEFORMAT </w:instrText>
      </w:r>
      <w:r>
        <w:rPr>
          <w:rFonts w:ascii="Arial" w:hAnsi="Arial" w:eastAsia="Segoe UI" w:cs="Arial"/>
          <w:kern w:val="0"/>
          <w:sz w:val="22"/>
          <w:shd w:val="clear" w:color="auto" w:fill="FFFFFF"/>
          <w:lang w:bidi="ar"/>
        </w:rPr>
        <w:fldChar w:fldCharType="separate"/>
      </w:r>
      <w:r>
        <w:rPr>
          <w:rFonts w:ascii="Arial" w:hAnsi="Arial" w:eastAsia="Segoe UI" w:cs="Arial"/>
          <w:kern w:val="0"/>
          <w:sz w:val="22"/>
          <w:shd w:val="clear" w:color="auto" w:fill="FFFFFF"/>
          <w:lang w:bidi="ar"/>
        </w:rPr>
        <w:t>[7]</w:t>
      </w:r>
      <w:r>
        <w:rPr>
          <w:rFonts w:ascii="Arial" w:hAnsi="Arial" w:eastAsia="Segoe UI" w:cs="Arial"/>
          <w:kern w:val="0"/>
          <w:sz w:val="22"/>
          <w:shd w:val="clear" w:color="auto" w:fill="FFFFFF"/>
          <w:lang w:bidi="ar"/>
        </w:rPr>
        <w:fldChar w:fldCharType="end"/>
      </w:r>
      <w:r>
        <w:rPr>
          <w:rFonts w:ascii="Arial" w:hAnsi="Arial" w:eastAsia="Segoe UI" w:cs="Arial"/>
          <w:kern w:val="0"/>
          <w:sz w:val="22"/>
          <w:shd w:val="clear" w:color="auto" w:fill="FFFFFF"/>
          <w:lang w:bidi="ar"/>
        </w:rPr>
        <w:t>.</w:t>
      </w:r>
    </w:p>
    <w:p w14:paraId="3E53E4CA">
      <w:pPr>
        <w:widowControl/>
        <w:shd w:val="clear" w:color="auto" w:fill="FFFFFF"/>
        <w:spacing w:line="276" w:lineRule="auto"/>
        <w:rPr>
          <w:rFonts w:ascii="Arial" w:hAnsi="Arial" w:cs="Arial"/>
          <w:sz w:val="22"/>
        </w:rPr>
      </w:pPr>
      <w:r>
        <w:rPr>
          <w:rFonts w:ascii="Arial" w:hAnsi="Arial" w:eastAsia="Segoe UI"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pPr>
        <w:pStyle w:val="2"/>
        <w:numPr>
          <w:ilvl w:val="0"/>
          <w:numId w:val="1"/>
        </w:numPr>
        <w:spacing w:line="23" w:lineRule="atLeast"/>
        <w:rPr>
          <w:rFonts w:ascii="Arial" w:hAnsi="Arial" w:cs="Arial" w:eastAsiaTheme="minorEastAsia"/>
          <w:b/>
          <w:bCs/>
          <w:color w:val="000000" w:themeColor="text1"/>
          <w:sz w:val="32"/>
          <w:szCs w:val="32"/>
          <w14:textFill>
            <w14:solidFill>
              <w14:schemeClr w14:val="tx1"/>
            </w14:solidFill>
          </w14:textFill>
        </w:rPr>
      </w:pPr>
      <w:r>
        <w:rPr>
          <w:rFonts w:hint="eastAsia" w:ascii="Arial" w:hAnsi="Arial" w:cs="Arial"/>
          <w:b/>
          <w:bCs/>
          <w:color w:val="000000" w:themeColor="text1"/>
          <w:sz w:val="32"/>
          <w:szCs w:val="32"/>
          <w14:textFill>
            <w14:solidFill>
              <w14:schemeClr w14:val="tx1"/>
            </w14:solidFill>
          </w14:textFill>
        </w:rPr>
        <w:t>Case Study Analysis</w:t>
      </w:r>
    </w:p>
    <w:p w14:paraId="0A9CE90F">
      <w:pPr>
        <w:spacing w:line="276" w:lineRule="auto"/>
        <w:rPr>
          <w:rFonts w:ascii="Arial" w:hAnsi="Arial" w:cs="Arial"/>
          <w:sz w:val="22"/>
        </w:rPr>
      </w:pPr>
      <w:r>
        <w:rPr>
          <w:rFonts w:ascii="Arial" w:hAnsi="Arial" w:cs="Arial"/>
          <w:sz w:val="22"/>
        </w:rPr>
        <w:t>These design patterns also play an important role in real life, making many challenges more manageable</w:t>
      </w:r>
    </w:p>
    <w:p w14:paraId="33A9B9C6">
      <w:pPr>
        <w:pStyle w:val="33"/>
        <w:numPr>
          <w:ilvl w:val="0"/>
          <w:numId w:val="6"/>
        </w:numPr>
        <w:spacing w:line="276" w:lineRule="auto"/>
        <w:rPr>
          <w:rFonts w:ascii="Arial" w:hAnsi="Arial" w:cs="Arial"/>
          <w:b/>
          <w:bCs/>
          <w:sz w:val="22"/>
        </w:rPr>
      </w:pPr>
      <w:r>
        <w:rPr>
          <w:rFonts w:ascii="Arial" w:hAnsi="Arial" w:cs="Arial"/>
          <w:b/>
          <w:bCs/>
          <w:sz w:val="22"/>
        </w:rPr>
        <w:t>Component-Based Design Pattern</w:t>
      </w:r>
    </w:p>
    <w:p w14:paraId="391427AC">
      <w:pPr>
        <w:pStyle w:val="33"/>
        <w:spacing w:line="276" w:lineRule="auto"/>
        <w:ind w:left="0"/>
        <w:rPr>
          <w:rFonts w:ascii="Arial" w:hAnsi="Arial" w:cs="Arial"/>
          <w:sz w:val="22"/>
        </w:rPr>
      </w:pPr>
      <w:r>
        <w:rPr>
          <w:rFonts w:ascii="Arial" w:hAnsi="Arial" w:cs="Arial"/>
          <w:sz w:val="22"/>
        </w:rPr>
        <w:t>I think that component-based design patterns are particularly effective in addressing the fundamental challenges presented in Fred Brooks's article "No silver Bullet."</w:t>
      </w:r>
    </w:p>
    <w:p w14:paraId="48753348">
      <w:pPr>
        <w:pStyle w:val="33"/>
        <w:numPr>
          <w:ilvl w:val="0"/>
          <w:numId w:val="7"/>
        </w:numPr>
        <w:spacing w:line="276" w:lineRule="auto"/>
        <w:rPr>
          <w:rFonts w:ascii="Arial" w:hAnsi="Arial" w:cs="Arial"/>
          <w:b/>
          <w:bCs/>
          <w:sz w:val="22"/>
        </w:rPr>
      </w:pPr>
      <w:r>
        <w:rPr>
          <w:rFonts w:ascii="Arial" w:hAnsi="Arial" w:cs="Arial"/>
          <w:b/>
          <w:bCs/>
          <w:sz w:val="22"/>
        </w:rPr>
        <w:t>Case Study</w:t>
      </w:r>
    </w:p>
    <w:p w14:paraId="67B50117">
      <w:pPr>
        <w:pStyle w:val="33"/>
        <w:spacing w:line="276" w:lineRule="auto"/>
        <w:ind w:left="0"/>
        <w:rPr>
          <w:rFonts w:ascii="Arial" w:hAnsi="Arial" w:cs="Arial"/>
          <w:sz w:val="22"/>
        </w:rPr>
      </w:pPr>
      <w:r>
        <w:rPr>
          <w:rFonts w:hint="eastAsia" w:ascii="Arial" w:hAnsi="Arial" w:cs="Arial"/>
          <w:sz w:val="22"/>
        </w:rPr>
        <w:t>In the development of e-commerce platform, component design is an effective method to manage complex system. Taking the order system reconstruction of Alibaba platform, a large domestic e-commerce platform, as an example, the system originally adopted a single architecture, with a high degree of coupling between various functional modules, low development efficiency, and difficult maintenance. Using a domain-driven design, the team reconfigured the system into four separate components: an order management component responsible for the full life cycle processing of orders, a payment component that integrates multiple payment channels and supports rapid scaling, an inventory component that ensures the accuracy and consistency of inventory data, and an authentication component that uniformly manages user authentication. These components communicate through well-defined API interfaces and use an event-driven mechanism to achieve asynchronous interactions. The maintenance cost of the modified system is greatly reduced, and the inventory module can independently cope with high concurrent visits during the promotion period. This architecture not only solves the existing problems, but also significantly improves the maintainability, extensibility and stability of the system</w:t>
      </w:r>
    </w:p>
    <w:p w14:paraId="1E53A857">
      <w:pPr>
        <w:pStyle w:val="33"/>
        <w:numPr>
          <w:ilvl w:val="0"/>
          <w:numId w:val="7"/>
        </w:numPr>
        <w:spacing w:line="276" w:lineRule="auto"/>
        <w:rPr>
          <w:rFonts w:ascii="Arial" w:hAnsi="Arial" w:cs="Arial"/>
          <w:b/>
          <w:bCs/>
          <w:sz w:val="22"/>
        </w:rPr>
      </w:pPr>
      <w:r>
        <w:rPr>
          <w:rFonts w:ascii="Arial" w:hAnsi="Arial" w:cs="Arial"/>
          <w:b/>
          <w:bCs/>
          <w:sz w:val="22"/>
        </w:rPr>
        <w:t>Discussion of component-based patterns</w:t>
      </w:r>
    </w:p>
    <w:p w14:paraId="4D36627B">
      <w:pPr>
        <w:pStyle w:val="33"/>
        <w:spacing w:line="276" w:lineRule="auto"/>
        <w:ind w:left="0"/>
        <w:rPr>
          <w:rFonts w:ascii="Arial" w:hAnsi="Arial" w:cs="Arial"/>
          <w:sz w:val="22"/>
        </w:rPr>
      </w:pPr>
      <w:r>
        <w:rPr>
          <w:rFonts w:hint="eastAsia" w:ascii="Arial" w:hAnsi="Arial" w:cs="Arial"/>
          <w:sz w:val="22"/>
        </w:rPr>
        <w:t>The use of component based design patterns allows me to address the fundamental software engineering challenges mentioned in Brooks's "No magic Bullet" paper and to propose effective solutions [8]. By implementing a modular decomposition approach, complex systems can be divided into discrete functional components with well-defined interfaces, thereby greatly reducing cognitive load and unexpected component interactions [9]. This approach not only improves the maintainability of the system, but also enhances flexibility, allowing each component to evolve independently without compromising the overall stability of the system. These architectural patterns yield additional benefits, including improved component interoperability through standardized interfaces and enhanced system transparency through explicit module descriptions. While no universal solution exists, a system architecture approach can significantly improve the complexity challenges inherent in software.</w:t>
      </w:r>
    </w:p>
    <w:p w14:paraId="21BA769E">
      <w:pPr>
        <w:pStyle w:val="33"/>
        <w:numPr>
          <w:ilvl w:val="0"/>
          <w:numId w:val="6"/>
        </w:numPr>
        <w:spacing w:line="276" w:lineRule="auto"/>
        <w:rPr>
          <w:rFonts w:ascii="Arial" w:hAnsi="Arial" w:eastAsia="宋体" w:cs="Arial"/>
          <w:b/>
          <w:bCs/>
          <w:sz w:val="22"/>
        </w:rPr>
      </w:pPr>
      <w:r>
        <w:rPr>
          <w:rFonts w:ascii="Arial" w:hAnsi="Arial" w:eastAsia="宋体" w:cs="Arial"/>
          <w:b/>
          <w:bCs/>
          <w:sz w:val="22"/>
        </w:rPr>
        <w:t>Strateg</w:t>
      </w:r>
      <w:r>
        <w:rPr>
          <w:rFonts w:hint="eastAsia" w:ascii="Arial" w:hAnsi="Arial" w:eastAsia="宋体" w:cs="Arial"/>
          <w:b/>
          <w:bCs/>
          <w:sz w:val="22"/>
          <w:lang w:val="en-US" w:eastAsia="zh-CN"/>
        </w:rPr>
        <w:t>y</w:t>
      </w:r>
      <w:r>
        <w:rPr>
          <w:rFonts w:ascii="Arial" w:hAnsi="Arial" w:eastAsia="宋体" w:cs="Arial"/>
          <w:b/>
          <w:bCs/>
          <w:sz w:val="22"/>
        </w:rPr>
        <w:t xml:space="preserve"> pattern address variability challenges in energy management of commercial complexes</w:t>
      </w:r>
    </w:p>
    <w:p w14:paraId="201C732D">
      <w:pPr>
        <w:pStyle w:val="33"/>
        <w:numPr>
          <w:ilvl w:val="0"/>
          <w:numId w:val="8"/>
        </w:numPr>
        <w:spacing w:line="276" w:lineRule="auto"/>
        <w:rPr>
          <w:rFonts w:ascii="Arial" w:hAnsi="Arial" w:eastAsia="宋体" w:cs="Arial"/>
          <w:b/>
          <w:bCs/>
          <w:sz w:val="22"/>
        </w:rPr>
      </w:pPr>
      <w:r>
        <w:rPr>
          <w:rFonts w:ascii="Arial" w:hAnsi="Arial" w:eastAsia="宋体" w:cs="Arial"/>
          <w:b/>
          <w:bCs/>
          <w:sz w:val="22"/>
        </w:rPr>
        <w:t>Case Background</w:t>
      </w:r>
    </w:p>
    <w:p w14:paraId="4D8888FA">
      <w:pPr>
        <w:pStyle w:val="33"/>
        <w:spacing w:line="276" w:lineRule="auto"/>
        <w:ind w:left="0"/>
        <w:rPr>
          <w:rFonts w:ascii="Arial" w:hAnsi="Arial" w:cs="Arial"/>
          <w:sz w:val="22"/>
        </w:rPr>
      </w:pPr>
      <w:r>
        <w:rPr>
          <w:rFonts w:hint="eastAsia" w:ascii="Arial" w:hAnsi="Arial" w:cs="Arial"/>
          <w:sz w:val="22"/>
        </w:rPr>
        <w:t>The large-scale commercial complex combines office, entertainment and shopping functions. Its</w:t>
      </w:r>
      <w:r>
        <w:rPr>
          <w:rFonts w:hint="eastAsia" w:ascii="Arial" w:hAnsi="Arial" w:cs="Arial"/>
          <w:sz w:val="22"/>
          <w:lang w:val="en-US" w:eastAsia="zh-CN"/>
        </w:rPr>
        <w:t xml:space="preserve"> </w:t>
      </w:r>
      <w:r>
        <w:rPr>
          <w:rFonts w:hint="eastAsia" w:ascii="Arial" w:hAnsi="Arial" w:cs="Arial"/>
          <w:sz w:val="22"/>
        </w:rPr>
        <w:t>electricity consumption times vary greatly across regions and are affected by peak-valley electricity pricing. Meanwhile, electricity prices, business activities and equipment conditions keep changing. To cut costs and boost efficiency, the complex has energy storage equipment and adopts strategic modes to build an energy management system</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_Ref195199093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[10]</w:t>
      </w:r>
      <w:r>
        <w:rPr>
          <w:rFonts w:ascii="Arial" w:hAnsi="Arial" w:cs="Arial"/>
          <w:sz w:val="22"/>
        </w:rPr>
        <w:fldChar w:fldCharType="end"/>
      </w:r>
      <w:r>
        <w:rPr>
          <w:rFonts w:ascii="Arial" w:hAnsi="Arial" w:cs="Arial"/>
          <w:sz w:val="22"/>
        </w:rPr>
        <w:t>.</w:t>
      </w:r>
      <w:bookmarkStart w:id="9" w:name="_GoBack"/>
      <w:bookmarkEnd w:id="9"/>
    </w:p>
    <w:p w14:paraId="229D8585">
      <w:pPr>
        <w:pStyle w:val="33"/>
        <w:numPr>
          <w:ilvl w:val="0"/>
          <w:numId w:val="8"/>
        </w:numPr>
        <w:spacing w:line="276" w:lineRule="auto"/>
        <w:rPr>
          <w:rFonts w:ascii="Arial" w:hAnsi="Arial" w:eastAsia="宋体" w:cs="Arial"/>
          <w:b/>
          <w:bCs/>
          <w:sz w:val="22"/>
        </w:rPr>
      </w:pPr>
      <w:r>
        <w:rPr>
          <w:rFonts w:ascii="Arial" w:hAnsi="Arial" w:eastAsia="宋体" w:cs="Arial"/>
          <w:b/>
          <w:bCs/>
          <w:sz w:val="22"/>
        </w:rPr>
        <w:t>Implementation of Strategy Pattern</w:t>
      </w:r>
    </w:p>
    <w:p w14:paraId="2C3820B4">
      <w:pPr>
        <w:pStyle w:val="33"/>
        <w:numPr>
          <w:numId w:val="0"/>
        </w:numPr>
        <w:spacing w:line="276" w:lineRule="auto"/>
        <w:ind w:leftChars="0"/>
        <w:rPr>
          <w:rFonts w:ascii="Arial" w:hAnsi="Arial" w:eastAsia="宋体" w:cs="Arial"/>
          <w:sz w:val="22"/>
        </w:rPr>
      </w:pPr>
      <w:r>
        <w:rPr>
          <w:rFonts w:hint="eastAsia" w:ascii="Arial" w:hAnsi="Arial" w:eastAsia="宋体" w:cs="Arial"/>
          <w:sz w:val="22"/>
          <w:lang w:eastAsia="zh-CN"/>
        </w:rPr>
        <w:t>（</w:t>
      </w:r>
      <w:r>
        <w:rPr>
          <w:rFonts w:hint="eastAsia" w:ascii="Arial" w:hAnsi="Arial" w:eastAsia="宋体" w:cs="Arial"/>
          <w:sz w:val="22"/>
          <w:lang w:val="en-US" w:eastAsia="zh-CN"/>
        </w:rPr>
        <w:t>1）</w:t>
      </w:r>
      <w:r>
        <w:rPr>
          <w:rFonts w:ascii="Arial" w:hAnsi="Arial" w:eastAsia="宋体" w:cs="Arial"/>
          <w:sz w:val="22"/>
        </w:rPr>
        <w:t xml:space="preserve">Defining the </w:t>
      </w:r>
      <w:r>
        <w:rPr>
          <w:rFonts w:ascii="Arial" w:hAnsi="Arial" w:cs="Arial"/>
          <w:b w:val="0"/>
          <w:bCs w:val="0"/>
          <w:sz w:val="22"/>
        </w:rPr>
        <w:t>Strategy</w:t>
      </w:r>
      <w:r>
        <w:rPr>
          <w:rFonts w:ascii="Arial" w:hAnsi="Arial" w:eastAsia="宋体" w:cs="Arial"/>
          <w:b w:val="0"/>
          <w:bCs w:val="0"/>
          <w:sz w:val="22"/>
        </w:rPr>
        <w:t xml:space="preserve"> interface</w:t>
      </w:r>
    </w:p>
    <w:p w14:paraId="7CFA20A1">
      <w:pPr>
        <w:spacing w:line="276" w:lineRule="auto"/>
        <w:rPr>
          <w:rFonts w:ascii="Arial" w:hAnsi="Arial" w:eastAsia="宋体" w:cs="Arial"/>
          <w:sz w:val="22"/>
        </w:rPr>
      </w:pPr>
      <w:r>
        <w:rPr>
          <w:rFonts w:ascii="Arial" w:hAnsi="Arial" w:eastAsia="宋体"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pPr>
        <w:pStyle w:val="33"/>
        <w:numPr>
          <w:numId w:val="0"/>
        </w:numPr>
        <w:spacing w:line="276" w:lineRule="auto"/>
        <w:ind w:leftChars="0"/>
        <w:rPr>
          <w:rFonts w:ascii="Arial" w:hAnsi="Arial" w:eastAsia="宋体" w:cs="Arial"/>
          <w:sz w:val="22"/>
        </w:rPr>
      </w:pPr>
      <w:r>
        <w:rPr>
          <w:rFonts w:hint="eastAsia" w:ascii="Arial" w:hAnsi="Arial" w:eastAsia="宋体" w:cs="Arial"/>
          <w:sz w:val="22"/>
          <w:lang w:val="en-US" w:eastAsia="zh-CN"/>
        </w:rPr>
        <w:t>（2）</w:t>
      </w:r>
      <w:r>
        <w:rPr>
          <w:rFonts w:ascii="Arial" w:hAnsi="Arial" w:eastAsia="宋体" w:cs="Arial"/>
          <w:sz w:val="22"/>
        </w:rPr>
        <w:t xml:space="preserve">Implement concrete </w:t>
      </w:r>
      <w:r>
        <w:rPr>
          <w:rFonts w:ascii="Arial" w:hAnsi="Arial" w:cs="Arial"/>
          <w:b w:val="0"/>
          <w:bCs w:val="0"/>
          <w:sz w:val="22"/>
        </w:rPr>
        <w:t>Strategy</w:t>
      </w:r>
      <w:r>
        <w:rPr>
          <w:rFonts w:hint="eastAsia" w:ascii="Arial" w:hAnsi="Arial" w:cs="Arial"/>
          <w:b w:val="0"/>
          <w:bCs w:val="0"/>
          <w:sz w:val="22"/>
          <w:lang w:val="en-US" w:eastAsia="zh-CN"/>
        </w:rPr>
        <w:t xml:space="preserve"> </w:t>
      </w:r>
      <w:r>
        <w:rPr>
          <w:rFonts w:ascii="Arial" w:hAnsi="Arial" w:eastAsia="宋体" w:cs="Arial"/>
          <w:sz w:val="22"/>
        </w:rPr>
        <w:t>classes</w:t>
      </w:r>
    </w:p>
    <w:p w14:paraId="5039D78F">
      <w:pPr>
        <w:spacing w:line="276" w:lineRule="auto"/>
        <w:rPr>
          <w:rFonts w:ascii="Arial" w:hAnsi="Arial" w:eastAsia="宋体" w:cs="Arial"/>
          <w:sz w:val="22"/>
        </w:rPr>
      </w:pPr>
      <w:r>
        <w:rPr>
          <w:rFonts w:hint="eastAsia" w:ascii="Arial" w:hAnsi="Arial" w:eastAsia="宋体" w:cs="Arial"/>
          <w:sz w:val="22"/>
        </w:rPr>
        <w:t>Peak-valley electricity price arbitrage: Adjust charge and discharge based on price changes, plan with real-time needs and storage status to cut electricity cost.</w:t>
      </w:r>
    </w:p>
    <w:p w14:paraId="58C42E94">
      <w:pPr>
        <w:spacing w:line="276" w:lineRule="auto"/>
        <w:rPr>
          <w:rFonts w:hint="eastAsia" w:ascii="Arial" w:hAnsi="Arial" w:eastAsia="宋体" w:cs="Arial"/>
          <w:sz w:val="22"/>
        </w:rPr>
      </w:pPr>
      <w:r>
        <w:rPr>
          <w:rFonts w:hint="eastAsia" w:ascii="Arial" w:hAnsi="Arial" w:eastAsia="宋体" w:cs="Arial"/>
          <w:sz w:val="22"/>
        </w:rPr>
        <w:t>Office area electrical equipment time-sharing control: Based on office working hours and personnel activity, keep air con and lights on during work, turn off extra lights after work to cut air con power and save energy.</w:t>
      </w:r>
    </w:p>
    <w:p w14:paraId="433E427C">
      <w:pPr>
        <w:spacing w:line="276" w:lineRule="auto"/>
        <w:rPr>
          <w:rFonts w:hint="eastAsia" w:ascii="Arial" w:hAnsi="Arial" w:eastAsia="宋体" w:cs="Arial"/>
          <w:sz w:val="22"/>
        </w:rPr>
      </w:pPr>
      <w:r>
        <w:rPr>
          <w:rFonts w:hint="eastAsia" w:ascii="Arial" w:hAnsi="Arial" w:eastAsia="宋体" w:cs="Arial"/>
          <w:sz w:val="22"/>
        </w:rPr>
        <w:t>Entertainment area electrical equipment dynamic control: In line with business hours, passenger flow and electricity cost, run equipment at full power in peak times and reduce power when it's quiet, balancing customer experience and energy use.</w:t>
      </w:r>
    </w:p>
    <w:p w14:paraId="7910AE9F">
      <w:pPr>
        <w:spacing w:line="276" w:lineRule="auto"/>
        <w:rPr>
          <w:rFonts w:ascii="Arial" w:hAnsi="Arial" w:cs="Arial"/>
          <w:sz w:val="22"/>
        </w:rPr>
      </w:pPr>
      <w:r>
        <w:rPr>
          <w:rFonts w:hint="eastAsia" w:ascii="Arial" w:hAnsi="Arial" w:cs="Arial"/>
          <w:sz w:val="22"/>
          <w:lang w:eastAsia="zh-CN"/>
        </w:rPr>
        <w:t>（</w:t>
      </w:r>
      <w:r>
        <w:rPr>
          <w:rFonts w:hint="eastAsia" w:ascii="Arial" w:hAnsi="Arial" w:cs="Arial"/>
          <w:sz w:val="22"/>
          <w:lang w:val="en-US" w:eastAsia="zh-CN"/>
        </w:rPr>
        <w:t>3）</w:t>
      </w:r>
      <w:r>
        <w:rPr>
          <w:rFonts w:ascii="Arial" w:hAnsi="Arial" w:cs="Arial"/>
          <w:sz w:val="22"/>
        </w:rPr>
        <w:t>Creating a context class</w:t>
      </w:r>
    </w:p>
    <w:p w14:paraId="3255FA50">
      <w:pPr>
        <w:spacing w:line="276" w:lineRule="auto"/>
        <w:rPr>
          <w:rFonts w:ascii="Arial" w:hAnsi="Arial" w:cs="Arial"/>
          <w:sz w:val="22"/>
        </w:rPr>
      </w:pPr>
      <w:r>
        <w:rPr>
          <w:rFonts w:ascii="Arial" w:hAnsi="Arial" w:cs="Arial"/>
          <w:sz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pPr>
        <w:pStyle w:val="33"/>
        <w:numPr>
          <w:ilvl w:val="0"/>
          <w:numId w:val="8"/>
        </w:numPr>
        <w:kinsoku w:val="0"/>
        <w:autoSpaceDE w:val="0"/>
        <w:autoSpaceDN w:val="0"/>
        <w:adjustRightInd w:val="0"/>
        <w:snapToGrid w:val="0"/>
        <w:spacing w:line="276" w:lineRule="auto"/>
        <w:textAlignment w:val="baseline"/>
        <w:rPr>
          <w:rFonts w:ascii="Arial" w:hAnsi="Arial" w:eastAsia="宋体" w:cs="Arial"/>
          <w:b/>
          <w:bCs/>
          <w:sz w:val="22"/>
        </w:rPr>
      </w:pPr>
      <w:r>
        <w:rPr>
          <w:rFonts w:ascii="Arial" w:hAnsi="Arial" w:eastAsia="宋体" w:cs="Arial"/>
          <w:b/>
          <w:bCs/>
          <w:sz w:val="22"/>
        </w:rPr>
        <w:t>Addressing the challenges of variability</w:t>
      </w:r>
    </w:p>
    <w:p w14:paraId="2CDEB76C">
      <w:pPr>
        <w:pStyle w:val="33"/>
        <w:numPr>
          <w:ilvl w:val="0"/>
          <w:numId w:val="9"/>
        </w:numPr>
        <w:kinsoku w:val="0"/>
        <w:autoSpaceDE w:val="0"/>
        <w:autoSpaceDN w:val="0"/>
        <w:adjustRightInd w:val="0"/>
        <w:snapToGrid w:val="0"/>
        <w:spacing w:line="276" w:lineRule="auto"/>
        <w:textAlignment w:val="baseline"/>
        <w:rPr>
          <w:rFonts w:ascii="Arial" w:hAnsi="Arial" w:eastAsia="宋体" w:cs="Arial"/>
          <w:sz w:val="22"/>
        </w:rPr>
      </w:pPr>
      <w:r>
        <w:rPr>
          <w:rFonts w:hint="eastAsia" w:ascii="Arial" w:hAnsi="Arial" w:eastAsia="宋体" w:cs="Arial"/>
          <w:sz w:val="22"/>
        </w:rPr>
        <w:t>Electricity price policy shift: Peak-valley prices change often. Traditional adjustment is complex. Our strategy only needs to tweak the charge-discharge conditions of arbitrage strategy, enabling the system to quickly adapt to new policies.</w:t>
      </w:r>
    </w:p>
    <w:p w14:paraId="0E4A6B57">
      <w:pPr>
        <w:pStyle w:val="33"/>
        <w:numPr>
          <w:ilvl w:val="0"/>
          <w:numId w:val="9"/>
        </w:numPr>
        <w:kinsoku w:val="0"/>
        <w:autoSpaceDE w:val="0"/>
        <w:autoSpaceDN w:val="0"/>
        <w:adjustRightInd w:val="0"/>
        <w:snapToGrid w:val="0"/>
        <w:spacing w:line="276" w:lineRule="auto"/>
        <w:textAlignment w:val="baseline"/>
        <w:rPr>
          <w:rFonts w:ascii="Arial" w:hAnsi="Arial" w:eastAsia="宋体" w:cs="Arial"/>
          <w:sz w:val="22"/>
        </w:rPr>
      </w:pPr>
      <w:r>
        <w:rPr>
          <w:rFonts w:hint="eastAsia" w:ascii="Arial" w:hAnsi="Arial" w:eastAsia="宋体" w:cs="Arial"/>
          <w:sz w:val="22"/>
        </w:rPr>
        <w:t>Commercial activity changes: Commercial complex activities vary, leading to significant electricity demand fluctuations. For instance, during shopping promotions, the dynamic control strategy for entertainment area electrical equipment can adjust power consumption in real time based on passenger flow and operating hours, adapting to energy demand changes without major system alterations.</w:t>
      </w:r>
    </w:p>
    <w:p w14:paraId="39F49F87">
      <w:pPr>
        <w:pStyle w:val="33"/>
        <w:numPr>
          <w:ilvl w:val="0"/>
          <w:numId w:val="9"/>
        </w:numPr>
        <w:kinsoku w:val="0"/>
        <w:autoSpaceDE w:val="0"/>
        <w:autoSpaceDN w:val="0"/>
        <w:adjustRightInd w:val="0"/>
        <w:snapToGrid w:val="0"/>
        <w:spacing w:line="276" w:lineRule="auto"/>
        <w:textAlignment w:val="baseline"/>
        <w:rPr>
          <w:rFonts w:ascii="Arial" w:hAnsi="Arial" w:eastAsia="宋体" w:cs="Arial"/>
          <w:sz w:val="22"/>
        </w:rPr>
      </w:pPr>
      <w:r>
        <w:rPr>
          <w:rFonts w:hint="eastAsia" w:ascii="Arial" w:hAnsi="Arial" w:eastAsia="宋体" w:cs="Arial"/>
          <w:sz w:val="22"/>
        </w:rPr>
        <w:t>Equipment renewal: New equipment varies in energy consumption and operating parameters. For example, when updating air conditioners, the control strategies for electrical equipment in office and entertainment areas can adjust operating power and control logic according to new AC features, ensuring the system adapts to equipment changes and effective energy management.</w:t>
      </w:r>
    </w:p>
    <w:p w14:paraId="7CBE7F6F">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Task Allocation</w:t>
      </w:r>
      <w:r>
        <w:rPr>
          <w:rFonts w:hint="eastAsia" w:ascii="Arial" w:hAnsi="Arial" w:cs="Arial"/>
          <w:b/>
          <w:bCs/>
          <w:color w:val="000000" w:themeColor="text1"/>
          <w:sz w:val="32"/>
          <w:szCs w:val="32"/>
          <w14:textFill>
            <w14:solidFill>
              <w14:schemeClr w14:val="tx1"/>
            </w14:solidFill>
          </w14:textFill>
        </w:rPr>
        <w:t xml:space="preserve"> and </w:t>
      </w:r>
      <w:r>
        <w:rPr>
          <w:rFonts w:ascii="Arial" w:hAnsi="Arial" w:cs="Arial"/>
          <w:b/>
          <w:bCs/>
          <w:color w:val="000000" w:themeColor="text1"/>
          <w:sz w:val="32"/>
          <w:szCs w:val="32"/>
          <w14:textFill>
            <w14:solidFill>
              <w14:schemeClr w14:val="tx1"/>
            </w14:solidFill>
          </w14:textFill>
        </w:rPr>
        <w:t xml:space="preserve">Individual </w:t>
      </w:r>
      <w:r>
        <w:rPr>
          <w:rFonts w:hint="eastAsia" w:ascii="Arial" w:hAnsi="Arial" w:cs="Arial"/>
          <w:b/>
          <w:bCs/>
          <w:color w:val="000000" w:themeColor="text1"/>
          <w:sz w:val="32"/>
          <w:szCs w:val="32"/>
          <w14:textFill>
            <w14:solidFill>
              <w14:schemeClr w14:val="tx1"/>
            </w14:solidFill>
          </w14:textFill>
        </w:rPr>
        <w:t>C</w:t>
      </w:r>
      <w:r>
        <w:rPr>
          <w:rFonts w:ascii="Arial" w:hAnsi="Arial" w:cs="Arial"/>
          <w:b/>
          <w:bCs/>
          <w:color w:val="000000" w:themeColor="text1"/>
          <w:sz w:val="32"/>
          <w:szCs w:val="32"/>
          <w14:textFill>
            <w14:solidFill>
              <w14:schemeClr w14:val="tx1"/>
            </w14:solidFill>
          </w14:textFill>
        </w:rPr>
        <w:t xml:space="preserve">ontribution </w:t>
      </w:r>
      <w:r>
        <w:rPr>
          <w:rFonts w:hint="eastAsia" w:ascii="Arial" w:hAnsi="Arial" w:cs="Arial"/>
          <w:b/>
          <w:bCs/>
          <w:color w:val="000000" w:themeColor="text1"/>
          <w:sz w:val="32"/>
          <w:szCs w:val="32"/>
          <w14:textFill>
            <w14:solidFill>
              <w14:schemeClr w14:val="tx1"/>
            </w14:solidFill>
          </w14:textFill>
        </w:rPr>
        <w:t>F</w:t>
      </w:r>
      <w:r>
        <w:rPr>
          <w:rFonts w:ascii="Arial" w:hAnsi="Arial" w:cs="Arial"/>
          <w:b/>
          <w:bCs/>
          <w:color w:val="000000" w:themeColor="text1"/>
          <w:sz w:val="32"/>
          <w:szCs w:val="32"/>
          <w14:textFill>
            <w14:solidFill>
              <w14:schemeClr w14:val="tx1"/>
            </w14:solidFill>
          </w14:textFill>
        </w:rPr>
        <w:t>orm</w:t>
      </w:r>
    </w:p>
    <w:p w14:paraId="6893C386">
      <w:pPr>
        <w:pStyle w:val="33"/>
        <w:numPr>
          <w:ilvl w:val="0"/>
          <w:numId w:val="10"/>
        </w:numPr>
        <w:rPr>
          <w:rFonts w:hint="eastAsia"/>
          <w:b/>
          <w:bCs/>
          <w:sz w:val="22"/>
        </w:rPr>
      </w:pPr>
      <w:r>
        <w:rPr>
          <w:rFonts w:hint="eastAsia" w:ascii="Arial" w:hAnsi="Arial" w:cs="Arial"/>
          <w:b/>
          <w:bCs/>
          <w:sz w:val="22"/>
        </w:rPr>
        <w:t xml:space="preserve">Individual </w:t>
      </w:r>
      <w:r>
        <w:rPr>
          <w:rFonts w:ascii="Arial" w:hAnsi="Arial" w:cs="Arial"/>
          <w:b/>
          <w:bCs/>
          <w:sz w:val="22"/>
        </w:rPr>
        <w:t xml:space="preserve">Contribution </w:t>
      </w:r>
      <w:r>
        <w:rPr>
          <w:rFonts w:hint="eastAsia" w:ascii="Arial" w:hAnsi="Arial" w:cs="Arial"/>
          <w:b/>
          <w:bCs/>
          <w:sz w:val="22"/>
        </w:rPr>
        <w:t>and Task Allocation T</w:t>
      </w:r>
      <w:r>
        <w:rPr>
          <w:rFonts w:ascii="Arial" w:hAnsi="Arial" w:cs="Arial"/>
          <w:b/>
          <w:bCs/>
          <w:sz w:val="22"/>
        </w:rPr>
        <w:t>able</w:t>
      </w:r>
    </w:p>
    <w:tbl>
      <w:tblPr>
        <w:tblStyle w:val="1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1745"/>
        <w:gridCol w:w="4439"/>
      </w:tblGrid>
      <w:tr w14:paraId="28316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5" w:type="dxa"/>
          </w:tcPr>
          <w:p w14:paraId="31587129">
            <w:pPr>
              <w:jc w:val="left"/>
              <w:rPr>
                <w:rFonts w:ascii="Arial" w:hAnsi="Arial" w:cs="Arial"/>
                <w:sz w:val="22"/>
              </w:rPr>
            </w:pPr>
            <w:r>
              <w:rPr>
                <w:rFonts w:ascii="Arial" w:hAnsi="Arial" w:cs="Arial"/>
                <w:sz w:val="22"/>
              </w:rPr>
              <w:t>Name</w:t>
            </w:r>
            <w:r>
              <w:rPr>
                <w:rFonts w:hint="eastAsia" w:ascii="Arial" w:hAnsi="Arial" w:cs="Arial"/>
                <w:sz w:val="22"/>
              </w:rPr>
              <w:t>(ID)</w:t>
            </w:r>
          </w:p>
        </w:tc>
        <w:tc>
          <w:tcPr>
            <w:tcW w:w="1745" w:type="dxa"/>
          </w:tcPr>
          <w:p w14:paraId="28F9F4E2">
            <w:pPr>
              <w:rPr>
                <w:rFonts w:ascii="Arial" w:hAnsi="Arial" w:cs="Arial"/>
                <w:sz w:val="22"/>
              </w:rPr>
            </w:pPr>
            <w:r>
              <w:rPr>
                <w:rFonts w:ascii="Arial" w:hAnsi="Arial" w:cs="Arial"/>
                <w:sz w:val="22"/>
              </w:rPr>
              <w:t>Contribution</w:t>
            </w:r>
            <w:r>
              <w:rPr>
                <w:rFonts w:hint="eastAsia" w:ascii="Arial" w:hAnsi="Arial" w:cs="Arial"/>
                <w:sz w:val="22"/>
              </w:rPr>
              <w:t>(%)</w:t>
            </w:r>
          </w:p>
        </w:tc>
        <w:tc>
          <w:tcPr>
            <w:tcW w:w="4439" w:type="dxa"/>
          </w:tcPr>
          <w:p w14:paraId="1834446A">
            <w:pPr>
              <w:rPr>
                <w:rFonts w:ascii="Arial" w:hAnsi="Arial" w:cs="Arial"/>
                <w:sz w:val="22"/>
              </w:rPr>
            </w:pPr>
            <w:r>
              <w:rPr>
                <w:rFonts w:hint="eastAsia" w:ascii="Arial" w:hAnsi="Arial" w:cs="Arial"/>
                <w:sz w:val="22"/>
              </w:rPr>
              <w:t>Task Allocation</w:t>
            </w:r>
          </w:p>
        </w:tc>
      </w:tr>
      <w:tr w14:paraId="1AB9F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5" w:type="dxa"/>
          </w:tcPr>
          <w:p w14:paraId="0A42C86F">
            <w:pPr>
              <w:rPr>
                <w:rFonts w:ascii="Arial" w:hAnsi="Arial" w:cs="Arial"/>
                <w:sz w:val="22"/>
              </w:rPr>
            </w:pPr>
            <w:r>
              <w:rPr>
                <w:rFonts w:ascii="Arial" w:hAnsi="Arial" w:cs="Arial"/>
                <w:sz w:val="22"/>
              </w:rPr>
              <w:t>Shibo</w:t>
            </w:r>
            <w:r>
              <w:rPr>
                <w:rFonts w:hint="eastAsia" w:ascii="Arial" w:hAnsi="Arial" w:cs="Arial"/>
                <w:sz w:val="22"/>
              </w:rPr>
              <w:t xml:space="preserve"> Z</w:t>
            </w:r>
            <w:r>
              <w:rPr>
                <w:rFonts w:ascii="Arial" w:hAnsi="Arial" w:cs="Arial"/>
                <w:sz w:val="22"/>
              </w:rPr>
              <w:t>hou</w:t>
            </w:r>
            <w:r>
              <w:rPr>
                <w:rFonts w:hint="eastAsia" w:ascii="Arial" w:hAnsi="Arial" w:cs="Arial"/>
                <w:sz w:val="22"/>
              </w:rPr>
              <w:t xml:space="preserve"> (2143996)</w:t>
            </w:r>
          </w:p>
        </w:tc>
        <w:tc>
          <w:tcPr>
            <w:tcW w:w="1745" w:type="dxa"/>
          </w:tcPr>
          <w:p w14:paraId="3F0FEFA4">
            <w:pPr>
              <w:rPr>
                <w:rFonts w:ascii="Arial" w:hAnsi="Arial" w:cs="Arial"/>
                <w:sz w:val="22"/>
              </w:rPr>
            </w:pPr>
            <w:r>
              <w:rPr>
                <w:rFonts w:hint="eastAsia" w:ascii="Arial" w:hAnsi="Arial" w:cs="Arial"/>
                <w:sz w:val="22"/>
              </w:rPr>
              <w:t>25%</w:t>
            </w:r>
          </w:p>
        </w:tc>
        <w:tc>
          <w:tcPr>
            <w:tcW w:w="4439" w:type="dxa"/>
          </w:tcPr>
          <w:p w14:paraId="61692B96">
            <w:pPr>
              <w:rPr>
                <w:rFonts w:ascii="Arial" w:hAnsi="Arial" w:cs="Arial"/>
                <w:sz w:val="22"/>
              </w:rPr>
            </w:pPr>
            <w:r>
              <w:rPr>
                <w:rFonts w:ascii="Arial" w:hAnsi="Arial" w:cs="Arial"/>
                <w:sz w:val="22"/>
              </w:rPr>
              <w:t xml:space="preserve">Component-based </w:t>
            </w:r>
            <w:r>
              <w:rPr>
                <w:rFonts w:hint="eastAsia" w:ascii="Arial" w:hAnsi="Arial" w:cs="Arial"/>
                <w:sz w:val="22"/>
              </w:rPr>
              <w:t xml:space="preserve">pattern </w:t>
            </w:r>
            <w:r>
              <w:rPr>
                <w:rFonts w:ascii="Arial" w:hAnsi="Arial" w:cs="Arial"/>
                <w:sz w:val="22"/>
              </w:rPr>
              <w:t>case studies and discussions</w:t>
            </w:r>
          </w:p>
        </w:tc>
      </w:tr>
      <w:tr w14:paraId="2BCE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5" w:type="dxa"/>
          </w:tcPr>
          <w:p w14:paraId="6C652247">
            <w:pPr>
              <w:rPr>
                <w:rFonts w:ascii="Arial" w:hAnsi="Arial" w:cs="Arial"/>
                <w:sz w:val="22"/>
              </w:rPr>
            </w:pPr>
            <w:r>
              <w:rPr>
                <w:rFonts w:hint="eastAsia" w:ascii="Arial" w:hAnsi="Arial" w:cs="Arial"/>
                <w:sz w:val="22"/>
              </w:rPr>
              <w:t>Yan Zhu (2034366)</w:t>
            </w:r>
          </w:p>
        </w:tc>
        <w:tc>
          <w:tcPr>
            <w:tcW w:w="1745" w:type="dxa"/>
          </w:tcPr>
          <w:p w14:paraId="7EE0FD51">
            <w:pPr>
              <w:rPr>
                <w:rFonts w:ascii="Arial" w:hAnsi="Arial" w:cs="Arial"/>
                <w:sz w:val="22"/>
              </w:rPr>
            </w:pPr>
            <w:r>
              <w:rPr>
                <w:rFonts w:hint="eastAsia" w:ascii="Arial" w:hAnsi="Arial" w:cs="Arial"/>
                <w:sz w:val="22"/>
              </w:rPr>
              <w:t>25%</w:t>
            </w:r>
          </w:p>
        </w:tc>
        <w:tc>
          <w:tcPr>
            <w:tcW w:w="4439" w:type="dxa"/>
          </w:tcPr>
          <w:p w14:paraId="186312A0">
            <w:pPr>
              <w:rPr>
                <w:rFonts w:ascii="Arial" w:hAnsi="Arial" w:cs="Arial"/>
                <w:sz w:val="22"/>
              </w:rPr>
            </w:pPr>
            <w:r>
              <w:rPr>
                <w:rFonts w:ascii="Arial" w:hAnsi="Arial" w:cs="Arial"/>
                <w:sz w:val="22"/>
              </w:rPr>
              <w:t>Strategy</w:t>
            </w:r>
            <w:r>
              <w:rPr>
                <w:rFonts w:hint="eastAsia" w:ascii="Arial" w:hAnsi="Arial" w:cs="Arial"/>
                <w:sz w:val="22"/>
              </w:rPr>
              <w:t xml:space="preserve"> pattern </w:t>
            </w:r>
            <w:r>
              <w:rPr>
                <w:rFonts w:ascii="Arial" w:hAnsi="Arial" w:cs="Arial"/>
                <w:sz w:val="22"/>
              </w:rPr>
              <w:t>case study and discussion</w:t>
            </w:r>
          </w:p>
        </w:tc>
      </w:tr>
      <w:tr w14:paraId="4B58A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5" w:type="dxa"/>
          </w:tcPr>
          <w:p w14:paraId="230F4B69">
            <w:pPr>
              <w:rPr>
                <w:rFonts w:ascii="Arial" w:hAnsi="Arial" w:cs="Arial"/>
                <w:sz w:val="22"/>
              </w:rPr>
            </w:pPr>
            <w:r>
              <w:rPr>
                <w:rFonts w:ascii="Arial" w:hAnsi="Arial" w:cs="Arial"/>
                <w:sz w:val="22"/>
              </w:rPr>
              <w:t>Leyu Pan</w:t>
            </w:r>
            <w:r>
              <w:rPr>
                <w:rFonts w:hint="eastAsia" w:ascii="Arial" w:hAnsi="Arial" w:cs="Arial"/>
                <w:sz w:val="22"/>
              </w:rPr>
              <w:t xml:space="preserve"> (2144051)</w:t>
            </w:r>
          </w:p>
        </w:tc>
        <w:tc>
          <w:tcPr>
            <w:tcW w:w="1745" w:type="dxa"/>
          </w:tcPr>
          <w:p w14:paraId="1CCCBCDC">
            <w:pPr>
              <w:rPr>
                <w:rFonts w:ascii="Arial" w:hAnsi="Arial" w:cs="Arial"/>
                <w:sz w:val="22"/>
              </w:rPr>
            </w:pPr>
            <w:r>
              <w:rPr>
                <w:rFonts w:hint="eastAsia" w:ascii="Arial" w:hAnsi="Arial" w:cs="Arial"/>
                <w:sz w:val="22"/>
              </w:rPr>
              <w:t>25%</w:t>
            </w:r>
          </w:p>
        </w:tc>
        <w:tc>
          <w:tcPr>
            <w:tcW w:w="4439" w:type="dxa"/>
          </w:tcPr>
          <w:p w14:paraId="757602DC">
            <w:pPr>
              <w:rPr>
                <w:rFonts w:ascii="Arial" w:hAnsi="Arial" w:cs="Arial"/>
                <w:sz w:val="22"/>
              </w:rPr>
            </w:pPr>
            <w:r>
              <w:rPr>
                <w:rFonts w:hint="eastAsia" w:ascii="Arial" w:hAnsi="Arial" w:cs="Arial"/>
                <w:sz w:val="22"/>
              </w:rPr>
              <w:t xml:space="preserve">Introduce of </w:t>
            </w:r>
            <w:r>
              <w:rPr>
                <w:rFonts w:ascii="Arial" w:hAnsi="Arial" w:cs="Arial"/>
                <w:sz w:val="22"/>
              </w:rPr>
              <w:t>“No Silver Bullet.”</w:t>
            </w:r>
            <w:r>
              <w:rPr>
                <w:rFonts w:hint="eastAsia" w:ascii="Arial" w:hAnsi="Arial" w:cs="Arial"/>
                <w:sz w:val="22"/>
              </w:rPr>
              <w:t xml:space="preserve"> and identify 4 key challenges in the article</w:t>
            </w:r>
          </w:p>
        </w:tc>
      </w:tr>
      <w:tr w14:paraId="12FF3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5" w:type="dxa"/>
          </w:tcPr>
          <w:p w14:paraId="2249634F">
            <w:pPr>
              <w:rPr>
                <w:rFonts w:ascii="Arial" w:hAnsi="Arial" w:cs="Arial"/>
                <w:sz w:val="22"/>
              </w:rPr>
            </w:pPr>
            <w:r>
              <w:rPr>
                <w:rFonts w:hint="eastAsia" w:ascii="Arial" w:hAnsi="Arial" w:cs="Arial"/>
                <w:sz w:val="22"/>
              </w:rPr>
              <w:t>Tong Wu (2143812)</w:t>
            </w:r>
          </w:p>
        </w:tc>
        <w:tc>
          <w:tcPr>
            <w:tcW w:w="1745" w:type="dxa"/>
          </w:tcPr>
          <w:p w14:paraId="74738F7C">
            <w:pPr>
              <w:rPr>
                <w:rFonts w:ascii="Arial" w:hAnsi="Arial" w:cs="Arial"/>
                <w:sz w:val="22"/>
              </w:rPr>
            </w:pPr>
            <w:r>
              <w:rPr>
                <w:rFonts w:hint="eastAsia" w:ascii="Arial" w:hAnsi="Arial" w:cs="Arial"/>
                <w:sz w:val="22"/>
              </w:rPr>
              <w:t>25%</w:t>
            </w:r>
          </w:p>
        </w:tc>
        <w:tc>
          <w:tcPr>
            <w:tcW w:w="4439" w:type="dxa"/>
          </w:tcPr>
          <w:p w14:paraId="10547452">
            <w:pPr>
              <w:rPr>
                <w:rFonts w:ascii="Arial" w:hAnsi="Arial" w:cs="Arial"/>
                <w:sz w:val="22"/>
              </w:rPr>
            </w:pPr>
            <w:r>
              <w:rPr>
                <w:rFonts w:hint="eastAsia" w:ascii="Arial" w:hAnsi="Arial" w:cs="Arial"/>
                <w:sz w:val="22"/>
              </w:rPr>
              <w:t xml:space="preserve">introduction of the 2 selected design patterns and their applications </w:t>
            </w:r>
          </w:p>
        </w:tc>
      </w:tr>
    </w:tbl>
    <w:p w14:paraId="26DA6BFD">
      <w:pPr>
        <w:pStyle w:val="33"/>
        <w:numPr>
          <w:ilvl w:val="0"/>
          <w:numId w:val="10"/>
        </w:numPr>
        <w:rPr>
          <w:rFonts w:ascii="Arial" w:hAnsi="Arial" w:cs="Arial"/>
          <w:b/>
          <w:bCs/>
          <w:sz w:val="22"/>
        </w:rPr>
      </w:pPr>
      <w:r>
        <w:rPr>
          <w:rFonts w:ascii="Arial" w:hAnsi="Arial" w:cs="Arial"/>
          <w:b/>
          <w:bCs/>
          <w:sz w:val="22"/>
        </w:rPr>
        <w:t>Version Control History</w:t>
      </w:r>
    </w:p>
    <w:p w14:paraId="0FB07F27">
      <w:pPr>
        <w:rPr>
          <w:rFonts w:ascii="Arial" w:hAnsi="Arial" w:cs="Arial"/>
          <w:b/>
          <w:bCs/>
          <w:sz w:val="22"/>
        </w:rPr>
      </w:pPr>
    </w:p>
    <w:p w14:paraId="5546ACBC">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 xml:space="preserve">Lesson </w:t>
      </w:r>
      <w:r>
        <w:rPr>
          <w:rFonts w:hint="eastAsia" w:ascii="Arial" w:hAnsi="Arial" w:cs="Arial"/>
          <w:b/>
          <w:bCs/>
          <w:color w:val="000000" w:themeColor="text1"/>
          <w:sz w:val="32"/>
          <w:szCs w:val="32"/>
          <w14:textFill>
            <w14:solidFill>
              <w14:schemeClr w14:val="tx1"/>
            </w14:solidFill>
          </w14:textFill>
        </w:rPr>
        <w:t>L</w:t>
      </w:r>
      <w:r>
        <w:rPr>
          <w:rFonts w:ascii="Arial" w:hAnsi="Arial" w:cs="Arial"/>
          <w:b/>
          <w:bCs/>
          <w:color w:val="000000" w:themeColor="text1"/>
          <w:sz w:val="32"/>
          <w:szCs w:val="32"/>
          <w14:textFill>
            <w14:solidFill>
              <w14:schemeClr w14:val="tx1"/>
            </w14:solidFill>
          </w14:textFill>
        </w:rPr>
        <w:t>earned and Conclusion</w:t>
      </w:r>
    </w:p>
    <w:p w14:paraId="0DB43020">
      <w:pPr>
        <w:spacing w:line="276" w:lineRule="auto"/>
        <w:rPr>
          <w:rFonts w:ascii="Arial" w:hAnsi="Arial" w:cs="Arial"/>
          <w:sz w:val="22"/>
        </w:rPr>
      </w:pPr>
      <w:r>
        <w:rPr>
          <w:rFonts w:hint="eastAsia" w:ascii="Arial" w:hAnsi="Arial" w:cs="Arial"/>
          <w:sz w:val="22"/>
        </w:rPr>
        <w:t>In the realm of software engineering, Fred Brooks' "No Silver Bullet" concept reminds us that there's no one - size - fits - all solution. Software development is fraught with 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pPr>
        <w:pStyle w:val="2"/>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Reference List</w:t>
      </w:r>
    </w:p>
    <w:p w14:paraId="3D36D9C9">
      <w:pPr>
        <w:pStyle w:val="33"/>
        <w:numPr>
          <w:ilvl w:val="0"/>
          <w:numId w:val="11"/>
        </w:numPr>
        <w:spacing w:line="276" w:lineRule="auto"/>
        <w:rPr>
          <w:rFonts w:ascii="Arial" w:hAnsi="Arial" w:cs="Arial"/>
          <w:sz w:val="22"/>
        </w:rPr>
      </w:pPr>
      <w:bookmarkStart w:id="0" w:name="_Ref194941497"/>
      <w:r>
        <w:rPr>
          <w:rFonts w:ascii="Arial" w:hAnsi="Arial" w:cs="Arial"/>
          <w:sz w:val="22"/>
        </w:rPr>
        <w:t>F. P. Brooks, "No Silver Bullet—Essence and Accidents of Software Engineering," Computer, vol. 20, no. 4, pp. 10–19, Apr. 1987, doi: 10.1109/MC.1987.1663532.</w:t>
      </w:r>
      <w:bookmarkEnd w:id="0"/>
    </w:p>
    <w:p w14:paraId="43A331A7">
      <w:pPr>
        <w:pStyle w:val="33"/>
        <w:numPr>
          <w:ilvl w:val="0"/>
          <w:numId w:val="11"/>
        </w:numPr>
        <w:spacing w:line="276" w:lineRule="auto"/>
        <w:rPr>
          <w:rFonts w:ascii="Arial" w:hAnsi="Arial" w:cs="Arial"/>
          <w:sz w:val="22"/>
        </w:rPr>
      </w:pPr>
      <w:r>
        <w:rPr>
          <w:rFonts w:ascii="Arial" w:hAnsi="Arial" w:cs="Arial"/>
          <w:sz w:val="22"/>
        </w:rPr>
        <w:t>I. Sommerville, Software Engineering, 10th ed. Boston, MA, USA: Pearson, 2015.</w:t>
      </w:r>
    </w:p>
    <w:p w14:paraId="79CDEBF8">
      <w:pPr>
        <w:pStyle w:val="33"/>
        <w:numPr>
          <w:ilvl w:val="0"/>
          <w:numId w:val="11"/>
        </w:numPr>
        <w:spacing w:line="276" w:lineRule="auto"/>
        <w:rPr>
          <w:rFonts w:ascii="Arial" w:hAnsi="Arial" w:cs="Arial"/>
          <w:sz w:val="22"/>
        </w:rPr>
      </w:pPr>
      <w:r>
        <w:rPr>
          <w:rFonts w:ascii="Arial" w:hAnsi="Arial" w:cs="Arial"/>
          <w:sz w:val="22"/>
        </w:rPr>
        <w:t>S. McConnell, Code Complete: A Practical Handbook of Software Construction, 2nd ed. Redmond, WA, USA: Microsoft Press, 2004.</w:t>
      </w:r>
    </w:p>
    <w:p w14:paraId="3B845621">
      <w:pPr>
        <w:pStyle w:val="33"/>
        <w:numPr>
          <w:ilvl w:val="0"/>
          <w:numId w:val="11"/>
        </w:numPr>
        <w:spacing w:line="276" w:lineRule="auto"/>
        <w:rPr>
          <w:rFonts w:ascii="Arial" w:hAnsi="Arial" w:cs="Arial"/>
          <w:sz w:val="22"/>
        </w:rPr>
      </w:pPr>
      <w:bookmarkStart w:id="1" w:name="_Ref194944167"/>
      <w:r>
        <w:rPr>
          <w:rFonts w:ascii="Arial" w:hAnsi="Arial" w:cs="Arial"/>
          <w:sz w:val="22"/>
        </w:rPr>
        <w:t>.S.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pPr>
        <w:pStyle w:val="33"/>
        <w:numPr>
          <w:ilvl w:val="0"/>
          <w:numId w:val="11"/>
        </w:numPr>
        <w:spacing w:line="276" w:lineRule="auto"/>
        <w:rPr>
          <w:rFonts w:ascii="Arial" w:hAnsi="Arial" w:cs="Arial"/>
          <w:sz w:val="22"/>
        </w:rPr>
      </w:pPr>
      <w:bookmarkStart w:id="3" w:name="_Ref194944179"/>
      <w:r>
        <w:rPr>
          <w:rFonts w:ascii="Arial" w:hAnsi="Arial" w:cs="Arial"/>
          <w:sz w:val="22"/>
        </w:rPr>
        <w:t>M. Babiuch and P. Foltynek, "Implementation of a Universal Framework Using Design Patterns for Application Development on Microcontrollers," Sensors, vol. 24, no. 10, pp. 3116-3143, May 2024.</w:t>
      </w:r>
      <w:bookmarkEnd w:id="3"/>
    </w:p>
    <w:p w14:paraId="33FCD00E">
      <w:pPr>
        <w:pStyle w:val="33"/>
        <w:numPr>
          <w:ilvl w:val="0"/>
          <w:numId w:val="11"/>
        </w:numPr>
        <w:spacing w:line="276" w:lineRule="auto"/>
        <w:rPr>
          <w:rFonts w:ascii="Arial" w:hAnsi="Arial" w:cs="Arial"/>
          <w:sz w:val="22"/>
        </w:rPr>
      </w:pPr>
      <w:bookmarkStart w:id="4" w:name="_Ref194944198"/>
      <w:r>
        <w:rPr>
          <w:rFonts w:ascii="Arial" w:hAnsi="Arial" w:cs="Arial"/>
          <w:sz w:val="22"/>
        </w:rPr>
        <w:t>P. Hoverstadt and L. Loh, Patterns of Strategy. London, UK: Routledge, Taylor &amp; Francis Group, 2017, 385 pp.</w:t>
      </w:r>
      <w:bookmarkEnd w:id="4"/>
    </w:p>
    <w:p w14:paraId="7BAEDEBC">
      <w:pPr>
        <w:pStyle w:val="33"/>
        <w:numPr>
          <w:ilvl w:val="0"/>
          <w:numId w:val="11"/>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pPr>
        <w:pStyle w:val="33"/>
        <w:numPr>
          <w:ilvl w:val="0"/>
          <w:numId w:val="11"/>
        </w:numPr>
        <w:spacing w:line="276" w:lineRule="auto"/>
        <w:rPr>
          <w:rFonts w:ascii="Arial" w:hAnsi="Arial" w:cs="Arial"/>
          <w:sz w:val="22"/>
        </w:rPr>
      </w:pPr>
      <w:bookmarkStart w:id="6" w:name="_Ref195195715"/>
      <w:r>
        <w:rPr>
          <w:rFonts w:hint="eastAsia" w:ascii="Arial" w:hAnsi="Arial" w:cs="Arial"/>
          <w:sz w:val="22"/>
        </w:rPr>
        <w:t>F. P. Brooks, The Mythical Man-Month: Essays on Software Engineering, Addison-Wesley, 1975.</w:t>
      </w:r>
      <w:bookmarkEnd w:id="6"/>
    </w:p>
    <w:p w14:paraId="0051DDB5">
      <w:pPr>
        <w:pStyle w:val="33"/>
        <w:numPr>
          <w:ilvl w:val="0"/>
          <w:numId w:val="11"/>
        </w:numPr>
        <w:spacing w:line="276" w:lineRule="auto"/>
        <w:rPr>
          <w:rFonts w:ascii="Arial" w:hAnsi="Arial" w:cs="Arial"/>
          <w:sz w:val="22"/>
        </w:rPr>
      </w:pPr>
      <w:bookmarkStart w:id="7" w:name="_Ref195195748"/>
      <w:r>
        <w:rPr>
          <w:rFonts w:hint="eastAsia" w:ascii="Arial" w:hAnsi="Arial" w:cs="Arial"/>
          <w:sz w:val="22"/>
        </w:rPr>
        <w:t>M. McCool, J. Reinders, and A. Robison, Structured Parallel Programming: Patterns for Efficient Computation, Elsevier, 2002.</w:t>
      </w:r>
      <w:bookmarkEnd w:id="7"/>
    </w:p>
    <w:p w14:paraId="513834DA">
      <w:pPr>
        <w:pStyle w:val="33"/>
        <w:numPr>
          <w:ilvl w:val="0"/>
          <w:numId w:val="11"/>
        </w:numPr>
        <w:spacing w:line="276" w:lineRule="auto"/>
        <w:rPr>
          <w:rFonts w:ascii="Arial" w:hAnsi="Arial" w:cs="Arial"/>
          <w:sz w:val="22"/>
        </w:rPr>
      </w:pPr>
      <w:bookmarkStart w:id="8" w:name="_Ref195199093"/>
      <w:r>
        <w:rPr>
          <w:rFonts w:hint="eastAsia" w:ascii="Arial" w:hAnsi="Arial" w:cs="Arial"/>
          <w:sz w:val="22"/>
        </w:rPr>
        <w:t>J. Hossain et al., "A Review on Optimal Energy Management in Commercial Buildings," Energies, vol. 16, no. 4, 2023, doi: 10.3390/en16041609.</w:t>
      </w:r>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3582D"/>
    <w:multiLevelType w:val="multilevel"/>
    <w:tmpl w:val="00C3582D"/>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6493DF6"/>
    <w:multiLevelType w:val="multilevel"/>
    <w:tmpl w:val="06493DF6"/>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EB266D4"/>
    <w:multiLevelType w:val="multilevel"/>
    <w:tmpl w:val="0EB266D4"/>
    <w:lvl w:ilvl="0" w:tentative="0">
      <w:start w:val="1"/>
      <w:numFmt w:val="decimal"/>
      <w:lvlText w:val="3.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5965093"/>
    <w:multiLevelType w:val="multilevel"/>
    <w:tmpl w:val="15965093"/>
    <w:lvl w:ilvl="0" w:tentative="0">
      <w:start w:val="1"/>
      <w:numFmt w:val="decimal"/>
      <w:lvlText w:val="5.%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58C337D"/>
    <w:multiLevelType w:val="multilevel"/>
    <w:tmpl w:val="258C337D"/>
    <w:lvl w:ilvl="0" w:tentative="0">
      <w:start w:val="1"/>
      <w:numFmt w:val="decimal"/>
      <w:lvlText w:val="4.2.%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C85026C"/>
    <w:multiLevelType w:val="multilevel"/>
    <w:tmpl w:val="3C8502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0BA54E8"/>
    <w:multiLevelType w:val="multilevel"/>
    <w:tmpl w:val="40BA54E8"/>
    <w:lvl w:ilvl="0" w:tentative="0">
      <w:start w:val="1"/>
      <w:numFmt w:val="decimal"/>
      <w:lvlText w:val="3.%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D8718C8"/>
    <w:multiLevelType w:val="multilevel"/>
    <w:tmpl w:val="6D8718C8"/>
    <w:lvl w:ilvl="0" w:tentative="0">
      <w:start w:val="1"/>
      <w:numFmt w:val="decimal"/>
      <w:lvlText w:val="4.%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A281494"/>
    <w:multiLevelType w:val="multilevel"/>
    <w:tmpl w:val="7A281494"/>
    <w:lvl w:ilvl="0" w:tentative="0">
      <w:start w:val="1"/>
      <w:numFmt w:val="decimal"/>
      <w:lvlText w:val="4.1.%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C4C4769"/>
    <w:multiLevelType w:val="multilevel"/>
    <w:tmpl w:val="7C4C4769"/>
    <w:lvl w:ilvl="0" w:tentative="0">
      <w:start w:val="1"/>
      <w:numFmt w:val="decimal"/>
      <w:lvlText w:val="3.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6"/>
  </w:num>
  <w:num w:numId="2">
    <w:abstractNumId w:val="3"/>
  </w:num>
  <w:num w:numId="3">
    <w:abstractNumId w:val="7"/>
  </w:num>
  <w:num w:numId="4">
    <w:abstractNumId w:val="2"/>
  </w:num>
  <w:num w:numId="5">
    <w:abstractNumId w:val="10"/>
  </w:num>
  <w:num w:numId="6">
    <w:abstractNumId w:val="8"/>
  </w:num>
  <w:num w:numId="7">
    <w:abstractNumId w:val="9"/>
  </w:num>
  <w:num w:numId="8">
    <w:abstractNumId w:val="5"/>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00015C7A"/>
    <w:rsid w:val="00045EC7"/>
    <w:rsid w:val="00075B8F"/>
    <w:rsid w:val="00077C02"/>
    <w:rsid w:val="000B4CFE"/>
    <w:rsid w:val="000D5652"/>
    <w:rsid w:val="000D6304"/>
    <w:rsid w:val="00124087"/>
    <w:rsid w:val="001268BF"/>
    <w:rsid w:val="002C3AD6"/>
    <w:rsid w:val="002D25BE"/>
    <w:rsid w:val="003424DB"/>
    <w:rsid w:val="004842FD"/>
    <w:rsid w:val="004C4C08"/>
    <w:rsid w:val="004E707C"/>
    <w:rsid w:val="005079C0"/>
    <w:rsid w:val="005A0B71"/>
    <w:rsid w:val="005E0D49"/>
    <w:rsid w:val="00621B51"/>
    <w:rsid w:val="00663474"/>
    <w:rsid w:val="006F564F"/>
    <w:rsid w:val="007441D5"/>
    <w:rsid w:val="00862648"/>
    <w:rsid w:val="008674CB"/>
    <w:rsid w:val="008B06B4"/>
    <w:rsid w:val="009A14BB"/>
    <w:rsid w:val="009E7C2E"/>
    <w:rsid w:val="00A769F6"/>
    <w:rsid w:val="00A94A93"/>
    <w:rsid w:val="00B56B11"/>
    <w:rsid w:val="00CA2FA6"/>
    <w:rsid w:val="00D62BD5"/>
    <w:rsid w:val="00DF1E84"/>
    <w:rsid w:val="00E041CC"/>
    <w:rsid w:val="00E72710"/>
    <w:rsid w:val="00EB5CB2"/>
    <w:rsid w:val="00F54B06"/>
    <w:rsid w:val="114705B8"/>
    <w:rsid w:val="4FC764C3"/>
    <w:rsid w:val="512808C1"/>
    <w:rsid w:val="C7E1F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9"/>
    <w:unhideWhenUsed/>
    <w:qFormat/>
    <w:uiPriority w:val="99"/>
    <w:pPr>
      <w:tabs>
        <w:tab w:val="center" w:pos="4153"/>
        <w:tab w:val="right" w:pos="8306"/>
      </w:tabs>
      <w:snapToGrid w:val="0"/>
      <w:jc w:val="left"/>
    </w:pPr>
    <w:rPr>
      <w:sz w:val="18"/>
      <w:szCs w:val="18"/>
    </w:rPr>
  </w:style>
  <w:style w:type="paragraph" w:styleId="12">
    <w:name w:val="header"/>
    <w:basedOn w:val="1"/>
    <w:link w:val="38"/>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sz w:val="24"/>
    </w:rPr>
  </w:style>
  <w:style w:type="paragraph" w:styleId="15">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Emphasis"/>
    <w:basedOn w:val="18"/>
    <w:qFormat/>
    <w:uiPriority w:val="20"/>
    <w:rPr>
      <w:i/>
    </w:rPr>
  </w:style>
  <w:style w:type="character" w:customStyle="1" w:styleId="20">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qFormat/>
    <w:uiPriority w:val="9"/>
    <w:rPr>
      <w:rFonts w:cstheme="majorBidi"/>
      <w:color w:val="104862" w:themeColor="accent1" w:themeShade="BF"/>
      <w:sz w:val="28"/>
      <w:szCs w:val="28"/>
    </w:rPr>
  </w:style>
  <w:style w:type="character" w:customStyle="1" w:styleId="24">
    <w:name w:val="标题 5 字符"/>
    <w:basedOn w:val="18"/>
    <w:link w:val="6"/>
    <w:semiHidden/>
    <w:qFormat/>
    <w:uiPriority w:val="9"/>
    <w:rPr>
      <w:rFonts w:cstheme="majorBidi"/>
      <w:color w:val="104862" w:themeColor="accent1" w:themeShade="BF"/>
      <w:sz w:val="24"/>
      <w:szCs w:val="24"/>
    </w:rPr>
  </w:style>
  <w:style w:type="character" w:customStyle="1" w:styleId="25">
    <w:name w:val="标题 6 字符"/>
    <w:basedOn w:val="18"/>
    <w:link w:val="7"/>
    <w:semiHidden/>
    <w:qFormat/>
    <w:uiPriority w:val="9"/>
    <w:rPr>
      <w:rFonts w:cstheme="majorBidi"/>
      <w:b/>
      <w:bCs/>
      <w:color w:val="104862" w:themeColor="accent1" w:themeShade="BF"/>
    </w:rPr>
  </w:style>
  <w:style w:type="character" w:customStyle="1" w:styleId="26">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明显强调1"/>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明显参考1"/>
    <w:basedOn w:val="18"/>
    <w:qFormat/>
    <w:uiPriority w:val="32"/>
    <w:rPr>
      <w:b/>
      <w:bCs/>
      <w:smallCaps/>
      <w:color w:val="104862" w:themeColor="accent1" w:themeShade="BF"/>
      <w:spacing w:val="5"/>
    </w:rPr>
  </w:style>
  <w:style w:type="character" w:customStyle="1" w:styleId="38">
    <w:name w:val="页眉 字符"/>
    <w:basedOn w:val="18"/>
    <w:link w:val="12"/>
    <w:qFormat/>
    <w:uiPriority w:val="99"/>
    <w:rPr>
      <w:sz w:val="18"/>
      <w:szCs w:val="18"/>
    </w:rPr>
  </w:style>
  <w:style w:type="character" w:customStyle="1" w:styleId="39">
    <w:name w:val="页脚 字符"/>
    <w:basedOn w:val="18"/>
    <w:link w:val="11"/>
    <w:qFormat/>
    <w:uiPriority w:val="99"/>
    <w:rPr>
      <w:sz w:val="18"/>
      <w:szCs w:val="18"/>
    </w:rPr>
  </w:style>
  <w:style w:type="paragraph" w:customStyle="1" w:styleId="40">
    <w:name w:val="p1"/>
    <w:basedOn w:val="1"/>
    <w:qFormat/>
    <w:uiPriority w:val="0"/>
    <w:pPr>
      <w:jc w:val="left"/>
    </w:pPr>
    <w:rPr>
      <w:rFonts w:ascii="Helvetica" w:hAnsi="Helvetica" w:eastAsia="Helvetica" w:cs="Times New Roman"/>
      <w:color w:val="000000"/>
      <w:kern w:val="0"/>
      <w:sz w:val="24"/>
      <w:szCs w:val="24"/>
    </w:rPr>
  </w:style>
  <w:style w:type="paragraph" w:customStyle="1" w:styleId="41">
    <w:name w:val="EndNote Bibliography Title"/>
    <w:uiPriority w:val="0"/>
    <w:pPr>
      <w:jc w:val="center"/>
    </w:pPr>
    <w:rPr>
      <w:rFonts w:ascii="Times New Roman" w:hAnsi="Times New Roman" w:cs="Times New Roman" w:eastAsiaTheme="minorEastAsia"/>
      <w:kern w:val="2"/>
      <w:szCs w:val="22"/>
      <w:lang w:val="en-US" w:eastAsia="zh-CN" w:bidi="ar-SA"/>
    </w:rPr>
  </w:style>
  <w:style w:type="paragraph" w:customStyle="1" w:styleId="42">
    <w:name w:val="EndNote Bibliography"/>
    <w:uiPriority w:val="0"/>
    <w:pPr>
      <w:jc w:val="both"/>
    </w:pPr>
    <w:rPr>
      <w:rFonts w:ascii="Times New Roman" w:hAnsi="Times New Roman" w:cs="Times New Roman" w:eastAsiaTheme="minorEastAsia"/>
      <w:kern w:val="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2016</Words>
  <Characters>12474</Characters>
  <Lines>232</Lines>
  <Paragraphs>92</Paragraphs>
  <TotalTime>19</TotalTime>
  <ScaleCrop>false</ScaleCrop>
  <LinksUpToDate>false</LinksUpToDate>
  <CharactersWithSpaces>14411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2025-04-06T02:51:00Z</dcterms:created>
  <dc:creator>Eric Pan</dc:creator>
  <cp:lastModifiedBy>Devil</cp:lastModifiedBy>
  <dcterms:modified xsi:type="dcterms:W3CDTF">2025-04-10T16:45:59Z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