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before="0" w:after="40" w:line="260" w:lineRule="exact"/>
      </w:pPr>
      <w:r>
        <w:rPr>
          <w:rFonts w:ascii="Avenir Next Medium" w:hAnsi="Avenir Next Medium" w:eastAsia="Hiragino Sans GB" w:hint="eastAsia"/>
          <w:b w:val="0"/>
          <w:i w:val="0"/>
          <w:color w:val="6E6C64"/>
          <w:sz w:val="14"/>
        </w:rPr>
        <w:t>RESEARCH &amp; SYSTEMS PROFILE / 2026</w:t>
      </w:r>
    </w:p>
    <w:p>
      <w:pPr>
        <w:snapToGrid w:val="0"/>
        <w:spacing w:before="0" w:after="40" w:line="254" w:lineRule="auto"/>
      </w:pPr>
      <w:r>
        <w:rPr>
          <w:rFonts w:ascii="Georgia" w:hAnsi="Georgia" w:eastAsia="Songti SC" w:hint="eastAsia"/>
          <w:b/>
          <w:i w:val="0"/>
          <w:color w:val="141413"/>
          <w:sz w:val="50"/>
        </w:rPr>
        <w:t>简永杰  /  JIAN YONGJIE</w:t>
      </w:r>
    </w:p>
    <w:p>
      <w:pPr>
        <w:snapToGrid w:val="0"/>
        <w:spacing w:before="0" w:after="150" w:line="276" w:lineRule="exact"/>
      </w:pPr>
      <w:r>
        <w:rPr>
          <w:rFonts w:ascii="Avenir Next Demi Bold" w:hAnsi="Avenir Next Demi Bold" w:eastAsia="Hiragino Sans GB" w:hint="eastAsia"/>
          <w:b w:val="0"/>
          <w:i w:val="0"/>
          <w:color w:val="A54F2E"/>
          <w:sz w:val="19"/>
        </w:rPr>
        <w:t>AI Agent 与游戏系统设计 · 人工心智与持久世界研究方向</w:t>
      </w:r>
    </w:p>
    <w:p>
      <w:pPr>
        <w:pBdr>
          <w:bottom w:val="single" w:sz="6" w:space="6" w:color="D8D4CA"/>
        </w:pBdr>
        <w:snapToGrid w:val="0"/>
        <w:spacing w:before="120" w:after="110" w:line="260" w:lineRule="exact"/>
      </w:pPr>
      <w:r>
        <w:rPr>
          <w:rFonts w:ascii="Avenir Next" w:hAnsi="Avenir Next" w:eastAsia="Hiragino Sans GB" w:hint="eastAsia"/>
          <w:b w:val="0"/>
          <w:i w:val="0"/>
          <w:color w:val="6E6C64"/>
          <w:sz w:val="15"/>
        </w:rPr>
        <w:t>173 2454 9976   ·   parsonjian@gmail.com   ·   微信 jkbbjk   ·   wordm.us   ·   广州 / 可异地</w:t>
      </w:r>
    </w:p>
    <w:p>
      <w:pPr>
        <w:snapToGrid w:val="0"/>
        <w:spacing w:before="100" w:after="60" w:line="328" w:lineRule="exact"/>
      </w:pPr>
      <w:r>
        <w:rPr>
          <w:rFonts w:ascii="Georgia" w:hAnsi="Georgia" w:eastAsia="Songti SC" w:hint="eastAsia"/>
          <w:b/>
          <w:i w:val="0"/>
          <w:color w:val="141413"/>
          <w:sz w:val="19"/>
        </w:rPr>
        <w:t>30+</w:t>
      </w:r>
      <w:r>
        <w:rPr>
          <w:rFonts w:ascii="Georgia" w:hAnsi="Georgia" w:eastAsia="Songti SC" w:hint="eastAsia"/>
          <w:b w:val="0"/>
          <w:i w:val="0"/>
          <w:color w:val="3D3D3A"/>
          <w:sz w:val="19"/>
        </w:rPr>
        <w:t xml:space="preserve"> 游戏项目  ·  峰值日流水约 </w:t>
      </w:r>
      <w:r>
        <w:rPr>
          <w:rFonts w:ascii="Georgia" w:hAnsi="Georgia" w:eastAsia="Songti SC" w:hint="eastAsia"/>
          <w:b/>
          <w:i w:val="0"/>
          <w:color w:val="141413"/>
          <w:sz w:val="19"/>
        </w:rPr>
        <w:t>4,000 万</w:t>
      </w:r>
      <w:r>
        <w:rPr>
          <w:rFonts w:ascii="Georgia" w:hAnsi="Georgia" w:eastAsia="Songti SC" w:hint="eastAsia"/>
          <w:b w:val="0"/>
          <w:i w:val="0"/>
          <w:color w:val="3D3D3A"/>
          <w:sz w:val="19"/>
        </w:rPr>
        <w:t xml:space="preserve">  ·  主策划 / 数值 / 系统  ·  统计学与微分方程训练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摘要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SUMMARY</w:t>
      </w:r>
    </w:p>
    <w:p>
      <w:pPr>
        <w:snapToGrid w:val="0"/>
        <w:spacing w:before="0" w:after="100" w:line="350" w:lineRule="exact"/>
      </w:pPr>
      <w:r>
        <w:rPr>
          <w:rFonts w:ascii="Georgia" w:hAnsi="Georgia" w:eastAsia="Songti SC" w:hint="eastAsia"/>
          <w:b w:val="0"/>
          <w:i w:val="0"/>
          <w:color w:val="3D3D3A"/>
          <w:sz w:val="21"/>
        </w:rPr>
        <w:t>我把 AI Agent 理解为存在于环境中的自主系统，而不是待分配任务的聊天接口。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统计学与微分方程训练让我能处理概率、状态演化和反馈；多年游戏系统经历让我能设计目标、资源、经济、角色与世界规则；独立原型实践则把这些能力接入记忆、工具、上下文和多代理协作，以及归根到底的世界构建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目标方向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AI Agent Research / Agent 产品与系统设计 / Game AI / Simulation / Cognitive Architecture。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现在在做什么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独立研究持久运行的 Agent 运行时与人工心智：让系统在环境里长期存活、积累经验、形成记忆，并把反复奏效的做法沉淀为结构。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核心竞争力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CORE STRENGTHS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Agent 架构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agent loop、上下文组装、长期记忆、工具调用、子代理编排、资源分配与生命周期管理。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建模与优化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Python、Mathematica、概率仿真、A/B 测试、数据埋点与报表自动化。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世界与机制设计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经济系统、成长线、概率控制、机器人策略、动态难度、角色行为与叙事工具。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从研究到产品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把开放问题拆成假设、指标、参数、原型、配置、测试和上线评估，形成可复用的迭代闭环。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独立研究 · 产品原型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INDEPENDENT RESEARCH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Fount — 持久 Agent 运行时与人工心智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独立研究 / 架构设计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面向长期存在的 Agent 系统，把人工心智定义为持续感知、注意力分配、历史积累、经验压缩与行动倾向形成的运行循环。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分层运行时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机器 agent 负责资源、经验分发与机器自我认知；内层 agent 负责世界演绎与角色主体，让世界产物反过来成为下一轮的输入。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认知循环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感知 → 记忆 → 预测 → 行动 → 误差 → 沉淀，角色按所处环境、关系与身份形成各自的理解。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注意力与记忆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设计注意力 + 分布式注意、活跃 / 长期 / 冷记忆分层、Agent 生命周期、tick 感知、异常上报、资源分配与经验压缩。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稳定边界与进化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以 API 为稳定边界，把成功决策沉淀为 skill、规则、工具或 Agent 模板，让系统以低成本绕过一次性探索。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围绕「资料 → 记忆 → 空间 → 行动」开发 AI 辅助创作与教育工具、App、浏览器插件与内部工作流原型；用 Codex CLI、Claude Code、Grok CLI 组织并行任务与知识回流。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专业经历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PROFESSIONAL EXPERIENCE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独立开发者 / AI Agent 研究者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2026.01 — 至今</w:t>
      </w:r>
    </w:p>
    <w:p>
      <w:pPr>
        <w:keepNext/>
        <w:snapToGrid w:val="0"/>
        <w:spacing w:before="0" w:after="100" w:line="276" w:lineRule="exact"/>
      </w:pPr>
      <w:r>
        <w:rPr>
          <w:rFonts w:ascii="Avenir Next Demi Bold" w:hAnsi="Avenir Next Demi Bold" w:eastAsia="Hiragino Sans GB" w:hint="eastAsia"/>
          <w:b w:val="0"/>
          <w:i w:val="0"/>
          <w:color w:val="A54F2E"/>
          <w:sz w:val="17"/>
        </w:rPr>
        <w:t>Agent Runtime · 记忆系统 · 空间化交互 · 游戏化体验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围绕 AI 记忆、自适应机制、Agent Runtime、空间化交互与游戏化体验进行独立探索，开发 AI 辅助教育工具、App、浏览器插件与内部工作流原型。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Agent 产品线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开发与整理多类 Agent 产品原型，研究 Agent 如何消化资料、形成长期记忆、生成交互空间，并通过用户行为持续调整输出。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知识库与工作流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构建个人知识库与自我进化工作流，把过往项目经验、产品设想、代码文档和设计笔记转化为结构化记忆、产品文档与开发任务。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开发与协作方式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使用 Codex CLI、Claude Code、Grok CLI 进行原型开发、文档拆解、模块设计与多项目管理；自制多项目管理器组织并行任务与知识回流。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广州京游网络科技有限公司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2025.09 — 2025.12</w:t>
      </w:r>
    </w:p>
    <w:p>
      <w:pPr>
        <w:keepNext/>
        <w:snapToGrid w:val="0"/>
        <w:spacing w:before="0" w:after="100" w:line="276" w:lineRule="exact"/>
      </w:pPr>
      <w:r>
        <w:rPr>
          <w:rFonts w:ascii="Avenir Next Demi Bold" w:hAnsi="Avenir Next Demi Bold" w:eastAsia="Hiragino Sans GB" w:hint="eastAsia"/>
          <w:b w:val="0"/>
          <w:i w:val="0"/>
          <w:color w:val="A54F2E"/>
          <w:sz w:val="17"/>
        </w:rPr>
        <w:t>主数值策划｜《多鱼大亨》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负责核心数值与体验系统重构，将原战斗向数值体系调整为 Coin Master 类经济结构，围绕成长、资源、奖励节奏和体验稳定性重建参数体系。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经济与节奏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重构核心循环、奖励结构、资源产出、消耗路径和玩家阶段体验，使经济目标与行为节奏保持一致。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验证闭环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搭建「体验目标 → 需求结构化 → 指标 / 参数化 → Excel 建模 → 配置 / 代码验证 → 上线评估」的参数化工作闭环。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概率与体验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主导战斗 / 钓鱼概率与体验控制，将胜负概率同过程表现解耦，引入动态校准，支持多事件组合和可配置扩展。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内容生产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规划 AI 视频生成与批量导出序列帧的内容流水线，提高渔场场景资源扩充效率。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广州加悦游戏科技有限公司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2023.03 — 2025.08</w:t>
      </w:r>
    </w:p>
    <w:p>
      <w:pPr>
        <w:keepNext/>
        <w:snapToGrid w:val="0"/>
        <w:spacing w:before="0" w:after="100" w:line="276" w:lineRule="exact"/>
      </w:pPr>
      <w:r>
        <w:rPr>
          <w:rFonts w:ascii="Avenir Next Demi Bold" w:hAnsi="Avenir Next Demi Bold" w:eastAsia="Hiragino Sans GB" w:hint="eastAsia"/>
          <w:b w:val="0"/>
          <w:i w:val="0"/>
          <w:color w:val="A54F2E"/>
          <w:sz w:val="17"/>
        </w:rPr>
        <w:t>主策划 / 产品经理｜休闲、捕鱼、老虎机、转盘、棋牌、Ludo、社交游戏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参与和管理 30+ 游戏项目，覆盖产品调研、系统与经济设计、数值建模、版本迭代、A/B Test、数据报表和跨团队上线；项目峰值日流水约 4,000 万。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产品与系统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负责多类型产品的系统、经济、概率和数值设计，长期监控目标 App、导航站点及竞品活动，用 Axure、Figma 输出流程、原型与版本方案。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数值与配置工具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使用 Excel、Python、Mathematica 进行数值建模、概率仿真与参数搜索，并在配置结构中预留 A/B Test 空间，支持多版本验证。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概率控制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独立设计垂直化概率配置输出表：调整轮子、赔率表、Jackpot、Bonus 等参数后，自动输出 RTP、返奖分布与核心数值结果。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收益调节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独立设计统一水池机制，通过软回归调节玩家收益与系统返奖，参数化控制回归速度，维持水池长期稳定；独立设计 Ludo 陪玩机器人算法，用软回归控制机器人强度、游戏结果与局内节奏。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自动化与搜索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建立配置—测试自动化流程，让配置调整、数据验证、结果输出和上线检查形成可重复闭环；设计遗传算法驱动的参数搜索工作流，让 Agent 自动迭代轮子配置并完成测试。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广州浩动网络科技有限公司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2021.03 — 2022.12</w:t>
      </w:r>
    </w:p>
    <w:p>
      <w:pPr>
        <w:keepNext/>
        <w:snapToGrid w:val="0"/>
        <w:spacing w:before="0" w:after="100" w:line="276" w:lineRule="exact"/>
      </w:pPr>
      <w:r>
        <w:rPr>
          <w:rFonts w:ascii="Avenir Next Demi Bold" w:hAnsi="Avenir Next Demi Bold" w:eastAsia="Hiragino Sans GB" w:hint="eastAsia"/>
          <w:b w:val="0"/>
          <w:i w:val="0"/>
          <w:color w:val="A54F2E"/>
          <w:sz w:val="17"/>
        </w:rPr>
        <w:t>系统策划｜《百鬼小村落》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负责核心系统、商业化、建筑与布局、战斗玩法、数值设计、埋点与数据分析需求，以及剧情相关工具设计。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玩法与框架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协助确定游戏核心玩法、世界观和整体风格，参与产品方向、系统框架与核心循环设计。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建筑与布局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负责建筑和布局系统，设计建筑产出、投入、升级、空间布局和资源循环，协调经营目标与空间体验。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战斗与成长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设计角色战斗玩法及相关数值系统，负责角色成长、战斗表现、数值平衡和体验节奏。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内容工具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提出后台数据埋点与数据分析需求，支持版本上线后的行为追踪和体验优化；撰写角色传记文案并设计剧情表演编辑器，支持剧情内容生产与表演配置。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广州星辉娱乐有限公司（RASTAR）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2020.04 — 2020.08</w:t>
      </w:r>
    </w:p>
    <w:p>
      <w:pPr>
        <w:keepNext/>
        <w:snapToGrid w:val="0"/>
        <w:spacing w:before="0" w:after="100" w:line="276" w:lineRule="exact"/>
      </w:pPr>
      <w:r>
        <w:rPr>
          <w:rFonts w:ascii="Avenir Next Demi Bold" w:hAnsi="Avenir Next Demi Bold" w:eastAsia="Hiragino Sans GB" w:hint="eastAsia"/>
          <w:b w:val="0"/>
          <w:i w:val="0"/>
          <w:color w:val="A54F2E"/>
          <w:sz w:val="17"/>
        </w:rPr>
        <w:t>系统策划｜《三国群英传：霸王之业 2》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参与 SLG 项目的系统设计与竞品分析，负责战力、天气等系统的方案搭建与文档输出。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战力系统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参与战力系统设计，梳理战力构成、成长路径和系统关联与数值表达。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天气系统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参与天气系统设计，分析天气对战斗、地图、策略和玩家决策的影响。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竞品与文档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完成竞品分析、系统拆解和方案文档，支持项目早期系统框架搭建。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教育与研究基础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EDUCATION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中国农业大学</w:t>
      </w:r>
      <w:r>
        <w:rPr>
          <w:rFonts w:ascii="Avenir Next Demi Bold" w:hAnsi="Avenir Next Demi Bold" w:eastAsia="Hiragino Sans GB" w:hint="eastAsia"/>
          <w:b w:val="0"/>
          <w:i w:val="0"/>
          <w:color w:val="A54F2E"/>
          <w:sz w:val="16"/>
        </w:rPr>
        <w:t xml:space="preserve">   ·   硕士 · 微分方程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2017.09 — 2020.01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研究动态系统、连续变化、状态演化与数学建模；曾任组织部副部长，获校奖学金。</w:t>
      </w:r>
    </w:p>
    <w:p>
      <w:pPr>
        <w:keepNext/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eastAsia="Songti SC" w:hint="eastAsia"/>
          <w:b/>
          <w:i w:val="0"/>
          <w:color w:val="141413"/>
          <w:sz w:val="20"/>
        </w:rPr>
        <w:t>华南师范大学</w:t>
      </w:r>
      <w:r>
        <w:rPr>
          <w:rFonts w:ascii="Avenir Next Demi Bold" w:hAnsi="Avenir Next Demi Bold" w:eastAsia="Hiragino Sans GB" w:hint="eastAsia"/>
          <w:b w:val="0"/>
          <w:i w:val="0"/>
          <w:color w:val="A54F2E"/>
          <w:sz w:val="16"/>
        </w:rPr>
        <w:t xml:space="preserve">   ·   学士 · 统计学</w:t>
      </w:r>
      <w:r>
        <w:rPr>
          <w:rFonts w:ascii="Avenir Next Demi Bold" w:hAnsi="Avenir Next Demi Bold" w:eastAsia="Hiragino Sans GB" w:hint="eastAsia"/>
          <w:b w:val="0"/>
          <w:i w:val="0"/>
          <w:color w:val="6E6C64"/>
          <w:sz w:val="15"/>
        </w:rPr>
        <w:tab/>
        <w:t>2011.09 — 2015.07</w:t>
      </w:r>
    </w:p>
    <w:p>
      <w:pPr>
        <w:snapToGrid w:val="0"/>
        <w:spacing w:before="0" w:after="130" w:line="328" w:lineRule="exact"/>
      </w:pPr>
      <w:r>
        <w:rPr>
          <w:rFonts w:ascii="Georgia" w:hAnsi="Georgia" w:eastAsia="Songti SC" w:hint="eastAsia"/>
          <w:b w:val="0"/>
          <w:i w:val="0"/>
          <w:color w:val="3D3D3A"/>
          <w:sz w:val="19"/>
        </w:rPr>
        <w:t>学习统计学、数据分析,以及支持向量机等传统机器学习方法。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技术与方法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TOOLKIT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AI / Agent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Codex / Claude Code、上下文工程、记忆机制、工具调用、子代理协作。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编程与数据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Python、SQL、Excel、Mathematica、概率仿真、数值建模、参数搜索、自动化配置输出。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产品与设计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Axure、Figma、Godot、系统设计文档、流程图、玩法原型、A/B Test、数据埋点与报表。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游戏系统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模拟经营、休闲棋牌与捕鱼、老虎机、转盘、Ludo、SLG；经济系统、RTP、Jackpot、Bonus、水池和机器人策略。</w:t>
      </w:r>
    </w:p>
    <w:p>
      <w:pPr>
        <w:keepNext/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</w:pPr>
      <w:r>
        <w:rPr>
          <w:rFonts w:ascii="Avenir Next" w:hAnsi="Avenir Next" w:eastAsia="Hiragino Sans GB" w:hint="eastAsia"/>
          <w:b/>
          <w:i w:val="0"/>
          <w:color w:val="6E6C64"/>
          <w:sz w:val="16"/>
        </w:rPr>
        <w:t>研究兴趣与跨媒介经历</w:t>
      </w:r>
      <w:r>
        <w:rPr>
          <w:rFonts w:ascii="Avenir Next Medium" w:hAnsi="Avenir Next Medium" w:eastAsia="Hiragino Sans GB" w:hint="eastAsia"/>
          <w:b w:val="0"/>
          <w:i w:val="0"/>
          <w:color w:val="A54F2E"/>
          <w:sz w:val="15"/>
        </w:rPr>
        <w:tab/>
        <w:t>INTERESTS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研究兴趣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强化学习、世界模型、博弈论、机制设计、认知科学、AI 记忆、空间化 Agent、经验流智能、生成式交互空间。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Avenir Next" w:hAnsi="Avenir Next" w:eastAsia="Hiragino Sans GB" w:hint="eastAsia"/>
          <w:b w:val="0"/>
          <w:i w:val="0"/>
          <w:color w:val="6E6C64"/>
          <w:sz w:val="16"/>
        </w:rPr>
        <w:t>跨媒介</w:t>
      </w:r>
      <w:r>
        <w:rPr>
          <w:rFonts w:ascii="Avenir Next" w:hAnsi="Avenir Next" w:eastAsia="Hiragino Sans GB" w:hint="eastAsia"/>
          <w:b w:val="0"/>
          <w:i w:val="0"/>
          <w:color w:val="3D3D3A"/>
          <w:sz w:val="18"/>
        </w:rPr>
        <w:tab/>
      </w:r>
      <w:r>
        <w:rPr>
          <w:rFonts w:ascii="Georgia" w:hAnsi="Georgia" w:eastAsia="Songti SC" w:hint="eastAsia"/>
          <w:b w:val="0"/>
          <w:i w:val="0"/>
          <w:color w:val="3D3D3A"/>
          <w:sz w:val="18"/>
        </w:rPr>
        <w:t>乌镇戏剧节与柏林戏剧节剧目参演者；长期关注戏剧、电影、历史与叙事系统，为角色、情境和世界设计提供跨媒介视角。</w:t>
      </w:r>
    </w:p>
    <w:sectPr w:rsidR="00FC693F" w:rsidRPr="0006063C" w:rsidSect="00034616">
      <w:headerReference w:type="first" r:id="rId9"/>
      <w:headerReference w:type="default" r:id="rId10"/>
      <w:pgSz w:w="11906" w:h="16838"/>
      <w:pgMar w:top="720" w:right="1049" w:bottom="700" w:left="1049" w:header="340" w:footer="34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venir Next" w:hAnsi="Avenir Next" w:cs="Avenir Next" w:eastAsia="Hiragino Sans GB" w:hint="eastAsia"/>
        <w:sz w:val="2"/>
      </w:rPr>
      <w:drawing xmlns:a="http://schemas.openxmlformats.org/drawingml/2006/main">
        <wp:anchor distT="0" distB="0" distL="0" distR="0" simplePos="0" relativeHeight="1" behindDoc="1" locked="0" layoutInCell="1" allowOverlap="1">
          <wp:simplePos x="0" y="0"/>
          <wp:positionH relativeFrom="page">
            <wp:posOffset>-12700</wp:posOffset>
          </wp:positionH>
          <wp:positionV relativeFrom="page">
            <wp:posOffset>-12700</wp:posOffset>
          </wp:positionV>
          <wp:extent cx="7585710" cy="10717530"/>
          <wp:effectExtent l="0" t="0" r="0" b="0"/>
          <wp:wrapNone/>
          <wp:docPr id="771" name="PagePaper77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85710" cy="10717530"/>
                  </a:xfrm>
                  <a:prstGeom prst="rect">
                    <a:avLst/>
                  </a:prstGeom>
                  <a:solidFill>
                    <a:srgbClr val="FAF9F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D8D4CA"/>
      </w:pBdr>
      <w:tabs>
        <w:tab w:pos="9808" w:val="right"/>
      </w:tabs>
      <w:spacing w:before="0" w:after="0" w:line="20" w:lineRule="exact"/>
      <w:rPr>
        <w:sz w:val="14"/>
        <w:szCs w:val="14"/>
      </w:rPr>
    </w:pPr>
    <w:r>
      <w:rPr>
        <w:rFonts w:ascii="Avenir Next" w:hAnsi="Avenir Next" w:cs="Avenir Next" w:eastAsia="Hiragino Sans GB" w:hint="eastAsia"/>
        <w:sz w:val="2"/>
      </w:rPr>
      <w:drawing xmlns:a="http://schemas.openxmlformats.org/drawingml/2006/main">
        <wp:anchor distT="0" distB="0" distL="0" distR="0" simplePos="0" relativeHeight="1" behindDoc="1" locked="0" layoutInCell="1" allowOverlap="1">
          <wp:simplePos x="0" y="0"/>
          <wp:positionH relativeFrom="page">
            <wp:posOffset>-12700</wp:posOffset>
          </wp:positionH>
          <wp:positionV relativeFrom="page">
            <wp:posOffset>-12700</wp:posOffset>
          </wp:positionV>
          <wp:extent cx="7585710" cy="10717530"/>
          <wp:effectExtent l="0" t="0" r="0" b="0"/>
          <wp:wrapNone/>
          <wp:docPr id="772" name="PagePaper77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85710" cy="10717530"/>
                  </a:xfrm>
                  <a:prstGeom prst="rect">
                    <a:avLst/>
                  </a:prstGeom>
                  <a:solidFill>
                    <a:srgbClr val="FAF9F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Avenir Next" w:hAnsi="Avenir Next" w:cs="Avenir Next" w:eastAsia="Hiragino Sans GB" w:hint="eastAsia"/>
        <w:b w:val="0"/>
        <w:color w:val="6E6C64"/>
        <w:spacing w:val="10"/>
        <w:sz w:val="14"/>
      </w:rPr>
      <w:t>简永杰  ·  机器心智与实验世界</w:t>
    </w:r>
    <w:r>
      <w:rPr>
        <w:rFonts w:ascii="Avenir Next" w:hAnsi="Avenir Next" w:cs="Avenir Next" w:eastAsia="Hiragino Sans GB" w:hint="eastAsia"/>
        <w:b w:val="0"/>
        <w:color w:val="6E6C64"/>
        <w:sz w:val="14"/>
      </w:rPr>
      <w:tab/>
      <w:t>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venir Next" w:hAnsi="Avenir Next" w:cs="Avenir Next" w:eastAsia="Hiragino Sans GB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eastAsia="Hiragino Sans GB" w:hint="eastAsia" w:cs="Avenir Nex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